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80" w:lineRule="auto"/>
        <w:jc w:val="center"/>
        <w:rPr>
          <w:rFonts w:ascii="宋体" w:hAnsi="宋体" w:cs="宋体"/>
          <w:bCs/>
          <w:spacing w:val="20"/>
          <w:kern w:val="0"/>
          <w:sz w:val="56"/>
          <w:szCs w:val="56"/>
        </w:rPr>
      </w:pPr>
    </w:p>
    <w:p>
      <w:pPr>
        <w:pStyle w:val="2"/>
        <w:rPr>
          <w:rFonts w:ascii="宋体" w:hAnsi="宋体" w:cs="宋体"/>
          <w:bCs/>
          <w:spacing w:val="20"/>
          <w:kern w:val="0"/>
          <w:sz w:val="56"/>
          <w:szCs w:val="56"/>
        </w:rPr>
      </w:pPr>
    </w:p>
    <w:p>
      <w:pPr>
        <w:autoSpaceDE w:val="0"/>
        <w:spacing w:line="480" w:lineRule="auto"/>
        <w:jc w:val="center"/>
        <w:rPr>
          <w:rFonts w:hint="eastAsia" w:ascii="宋体" w:hAnsi="宋体" w:cs="宋体"/>
          <w:bCs/>
          <w:spacing w:val="7"/>
          <w:sz w:val="48"/>
          <w:szCs w:val="48"/>
        </w:rPr>
      </w:pPr>
      <w:r>
        <w:rPr>
          <w:rFonts w:hint="eastAsia" w:ascii="宋体" w:hAnsi="宋体" w:cs="宋体"/>
          <w:bCs/>
          <w:spacing w:val="7"/>
          <w:sz w:val="48"/>
          <w:szCs w:val="48"/>
        </w:rPr>
        <w:t>运城市财经学校关于山西省第十</w:t>
      </w:r>
      <w:r>
        <w:rPr>
          <w:rFonts w:hint="eastAsia" w:ascii="宋体" w:hAnsi="宋体" w:cs="宋体"/>
          <w:bCs/>
          <w:spacing w:val="7"/>
          <w:sz w:val="48"/>
          <w:szCs w:val="48"/>
          <w:lang w:val="en-US" w:eastAsia="zh-CN"/>
        </w:rPr>
        <w:t>七</w:t>
      </w:r>
      <w:r>
        <w:rPr>
          <w:rFonts w:hint="eastAsia" w:ascii="宋体" w:hAnsi="宋体" w:cs="宋体"/>
          <w:bCs/>
          <w:spacing w:val="7"/>
          <w:sz w:val="48"/>
          <w:szCs w:val="48"/>
        </w:rPr>
        <w:t>届职业院校技能大赛-</w:t>
      </w:r>
      <w:r>
        <w:rPr>
          <w:rFonts w:hint="eastAsia" w:ascii="宋体" w:hAnsi="宋体" w:cs="宋体"/>
          <w:bCs/>
          <w:spacing w:val="7"/>
          <w:sz w:val="48"/>
          <w:szCs w:val="48"/>
          <w:lang w:val="en-US" w:eastAsia="zh-CN"/>
        </w:rPr>
        <w:t>动漫制作</w:t>
      </w:r>
      <w:r>
        <w:rPr>
          <w:rFonts w:hint="eastAsia" w:ascii="宋体" w:hAnsi="宋体" w:cs="宋体"/>
          <w:bCs/>
          <w:spacing w:val="7"/>
          <w:sz w:val="48"/>
          <w:szCs w:val="48"/>
        </w:rPr>
        <w:t>（中职组）赛项</w:t>
      </w:r>
    </w:p>
    <w:p>
      <w:pPr>
        <w:autoSpaceDE w:val="0"/>
        <w:spacing w:line="480" w:lineRule="auto"/>
        <w:jc w:val="center"/>
        <w:rPr>
          <w:rFonts w:hint="eastAsia" w:ascii="宋体" w:hAnsi="宋体" w:eastAsia="宋体" w:cs="宋体"/>
          <w:bCs/>
          <w:spacing w:val="20"/>
          <w:kern w:val="0"/>
          <w:sz w:val="48"/>
          <w:szCs w:val="48"/>
          <w:lang w:val="en-US" w:eastAsia="zh-CN"/>
        </w:rPr>
      </w:pPr>
      <w:r>
        <w:rPr>
          <w:rFonts w:hint="eastAsia" w:ascii="宋体" w:hAnsi="宋体" w:cs="宋体"/>
          <w:bCs/>
          <w:spacing w:val="20"/>
          <w:kern w:val="0"/>
          <w:sz w:val="48"/>
          <w:szCs w:val="48"/>
        </w:rPr>
        <w:t>征集合作企业</w:t>
      </w:r>
    </w:p>
    <w:p>
      <w:pPr>
        <w:autoSpaceDE w:val="0"/>
        <w:spacing w:line="480" w:lineRule="auto"/>
        <w:jc w:val="center"/>
        <w:rPr>
          <w:rFonts w:ascii="宋体" w:hAnsi="宋体" w:cs="宋体"/>
          <w:bCs/>
          <w:spacing w:val="20"/>
          <w:kern w:val="0"/>
          <w:sz w:val="32"/>
          <w:szCs w:val="32"/>
        </w:rPr>
      </w:pPr>
    </w:p>
    <w:p>
      <w:pPr>
        <w:pStyle w:val="3"/>
        <w:rPr>
          <w:rFonts w:ascii="宋体" w:hAnsi="宋体" w:cs="宋体"/>
          <w:bCs/>
        </w:rPr>
      </w:pPr>
    </w:p>
    <w:p>
      <w:pPr>
        <w:pStyle w:val="3"/>
        <w:rPr>
          <w:rFonts w:ascii="宋体" w:hAnsi="宋体" w:cs="宋体"/>
          <w:bCs/>
        </w:rPr>
      </w:pPr>
    </w:p>
    <w:p>
      <w:pPr>
        <w:pStyle w:val="3"/>
        <w:rPr>
          <w:rFonts w:ascii="宋体" w:hAnsi="宋体" w:cs="宋体"/>
          <w:bCs/>
        </w:rPr>
      </w:pPr>
    </w:p>
    <w:p>
      <w:pPr>
        <w:pStyle w:val="20"/>
        <w:ind w:left="0" w:leftChars="0"/>
        <w:rPr>
          <w:rFonts w:ascii="宋体" w:hAnsi="宋体" w:cs="宋体"/>
          <w:bCs/>
        </w:rPr>
      </w:pPr>
    </w:p>
    <w:p>
      <w:pPr>
        <w:rPr>
          <w:rFonts w:ascii="宋体" w:hAnsi="宋体" w:cs="宋体"/>
          <w:bCs/>
        </w:rPr>
      </w:pPr>
    </w:p>
    <w:p>
      <w:pPr>
        <w:pStyle w:val="2"/>
        <w:rPr>
          <w:rFonts w:ascii="宋体" w:hAnsi="宋体" w:cs="宋体"/>
          <w:bCs/>
        </w:rPr>
      </w:pPr>
    </w:p>
    <w:p>
      <w:pPr>
        <w:pStyle w:val="4"/>
        <w:rPr>
          <w:rFonts w:ascii="宋体" w:hAnsi="宋体" w:cs="宋体"/>
          <w:bCs/>
        </w:rPr>
      </w:pPr>
    </w:p>
    <w:p>
      <w:pPr>
        <w:rPr>
          <w:rFonts w:ascii="宋体" w:hAnsi="宋体" w:cs="宋体"/>
          <w:bCs/>
        </w:rPr>
      </w:pPr>
    </w:p>
    <w:p>
      <w:pPr>
        <w:pStyle w:val="2"/>
        <w:rPr>
          <w:rFonts w:ascii="宋体" w:hAnsi="宋体" w:cs="宋体"/>
          <w:bCs/>
        </w:rPr>
      </w:pPr>
    </w:p>
    <w:p>
      <w:pPr>
        <w:pStyle w:val="4"/>
        <w:rPr>
          <w:rFonts w:ascii="宋体" w:hAnsi="宋体" w:cs="宋体"/>
          <w:bCs/>
        </w:rPr>
      </w:pPr>
    </w:p>
    <w:p>
      <w:pPr>
        <w:rPr>
          <w:rFonts w:ascii="宋体" w:hAnsi="宋体" w:cs="宋体"/>
          <w:bCs/>
        </w:rPr>
      </w:pPr>
    </w:p>
    <w:p>
      <w:pPr>
        <w:pStyle w:val="2"/>
      </w:pPr>
    </w:p>
    <w:p>
      <w:pPr>
        <w:pStyle w:val="4"/>
        <w:rPr>
          <w:rFonts w:ascii="宋体" w:hAnsi="宋体" w:cs="宋体"/>
          <w:bCs/>
        </w:rPr>
      </w:pPr>
    </w:p>
    <w:p/>
    <w:p>
      <w:pPr>
        <w:spacing w:line="400" w:lineRule="exact"/>
        <w:rPr>
          <w:rFonts w:ascii="宋体" w:hAnsi="宋体" w:cs="宋体"/>
          <w:bCs/>
          <w:szCs w:val="22"/>
        </w:rPr>
      </w:pPr>
      <w:r>
        <w:rPr>
          <w:rFonts w:hint="eastAsia" w:ascii="宋体" w:hAnsi="宋体" w:cs="宋体"/>
          <w:bCs/>
          <w:szCs w:val="22"/>
        </w:rPr>
        <w:t xml:space="preserve"> </w:t>
      </w:r>
    </w:p>
    <w:p>
      <w:pPr>
        <w:pStyle w:val="60"/>
        <w:rPr>
          <w:rFonts w:ascii="宋体" w:hAnsi="宋体" w:cs="宋体"/>
          <w:bCs/>
        </w:rPr>
      </w:pPr>
    </w:p>
    <w:p>
      <w:pPr>
        <w:jc w:val="center"/>
        <w:rPr>
          <w:rFonts w:ascii="宋体" w:hAnsi="宋体" w:cs="宋体"/>
          <w:bCs/>
          <w:sz w:val="36"/>
          <w:szCs w:val="36"/>
        </w:rPr>
      </w:pPr>
    </w:p>
    <w:p>
      <w:pPr>
        <w:jc w:val="center"/>
        <w:rPr>
          <w:rFonts w:ascii="宋体" w:hAnsi="宋体" w:cs="宋体"/>
          <w:bCs/>
          <w:sz w:val="36"/>
          <w:szCs w:val="36"/>
        </w:rPr>
      </w:pPr>
      <w:r>
        <w:rPr>
          <w:rFonts w:hint="eastAsia" w:ascii="宋体" w:hAnsi="宋体" w:cs="宋体"/>
          <w:bCs/>
          <w:sz w:val="36"/>
          <w:szCs w:val="36"/>
        </w:rPr>
        <w:t xml:space="preserve">                                                                                                                                                                                                                   </w:t>
      </w:r>
    </w:p>
    <w:p>
      <w:pPr>
        <w:jc w:val="center"/>
        <w:rPr>
          <w:rFonts w:ascii="宋体" w:hAnsi="宋体" w:cs="宋体"/>
          <w:bCs/>
          <w:szCs w:val="21"/>
        </w:rPr>
      </w:pPr>
      <w:r>
        <w:rPr>
          <w:rFonts w:hint="eastAsia" w:ascii="宋体" w:hAnsi="宋体" w:cs="宋体"/>
          <w:bCs/>
          <w:sz w:val="36"/>
          <w:szCs w:val="36"/>
        </w:rPr>
        <w:t>二〇二</w:t>
      </w:r>
      <w:r>
        <w:rPr>
          <w:rFonts w:hint="eastAsia" w:ascii="宋体" w:hAnsi="宋体" w:cs="宋体"/>
          <w:bCs/>
          <w:sz w:val="36"/>
          <w:szCs w:val="36"/>
          <w:lang w:val="en-US" w:eastAsia="zh-CN"/>
        </w:rPr>
        <w:t>三</w:t>
      </w:r>
      <w:r>
        <w:rPr>
          <w:rFonts w:hint="eastAsia" w:ascii="宋体" w:hAnsi="宋体" w:cs="宋体"/>
          <w:bCs/>
          <w:sz w:val="36"/>
          <w:szCs w:val="36"/>
        </w:rPr>
        <w:t>年九月</w:t>
      </w:r>
    </w:p>
    <w:p>
      <w:pPr>
        <w:pStyle w:val="63"/>
        <w:widowControl/>
        <w:jc w:val="center"/>
        <w:outlineLvl w:val="9"/>
        <w:rPr>
          <w:rFonts w:ascii="宋体" w:hAnsi="宋体" w:cs="宋体"/>
          <w:b w:val="0"/>
          <w:bCs/>
          <w:color w:val="auto"/>
          <w:sz w:val="44"/>
          <w:szCs w:val="44"/>
          <w:lang w:val="zh-CN"/>
        </w:rPr>
        <w:sectPr>
          <w:headerReference r:id="rId3" w:type="default"/>
          <w:footerReference r:id="rId4" w:type="default"/>
          <w:pgSz w:w="11906" w:h="16838"/>
          <w:pgMar w:top="1417" w:right="1418" w:bottom="1417" w:left="1418" w:header="851" w:footer="992" w:gutter="0"/>
          <w:pgNumType w:start="1"/>
          <w:cols w:space="720" w:num="1"/>
          <w:docGrid w:type="lines" w:linePitch="312" w:charSpace="0"/>
        </w:sectPr>
      </w:pPr>
      <w:bookmarkStart w:id="0" w:name="_Toc12750"/>
    </w:p>
    <w:bookmarkEnd w:id="0"/>
    <w:p>
      <w:pPr>
        <w:pStyle w:val="5"/>
        <w:rPr>
          <w:rFonts w:ascii="宋体" w:hAnsi="宋体" w:cs="宋体"/>
          <w:spacing w:val="10"/>
          <w:sz w:val="36"/>
          <w:szCs w:val="36"/>
        </w:rPr>
      </w:pPr>
      <w:bookmarkStart w:id="1" w:name="_Toc55670705"/>
      <w:bookmarkEnd w:id="1"/>
      <w:bookmarkStart w:id="2" w:name="_Toc55670717"/>
      <w:bookmarkEnd w:id="2"/>
      <w:bookmarkStart w:id="3" w:name="_Toc55671671"/>
      <w:bookmarkStart w:id="4" w:name="_Toc55676415"/>
      <w:bookmarkStart w:id="5" w:name="_Toc10417"/>
      <w:bookmarkStart w:id="6" w:name="_Toc23023"/>
      <w:bookmarkStart w:id="7" w:name="_Toc26613"/>
      <w:r>
        <w:rPr>
          <w:rFonts w:hint="eastAsia" w:ascii="宋体" w:hAnsi="宋体" w:cs="宋体"/>
          <w:spacing w:val="10"/>
          <w:kern w:val="2"/>
          <w:sz w:val="36"/>
          <w:szCs w:val="36"/>
        </w:rPr>
        <w:t xml:space="preserve">第一章 </w:t>
      </w:r>
      <w:r>
        <w:rPr>
          <w:rFonts w:hint="eastAsia" w:ascii="宋体" w:hAnsi="宋体" w:cs="宋体"/>
          <w:spacing w:val="10"/>
          <w:kern w:val="2"/>
          <w:sz w:val="36"/>
          <w:szCs w:val="36"/>
          <w:lang w:val="en-US" w:eastAsia="zh-CN"/>
        </w:rPr>
        <w:t>意向企业</w:t>
      </w:r>
      <w:r>
        <w:rPr>
          <w:rFonts w:hint="eastAsia" w:ascii="宋体" w:hAnsi="宋体" w:cs="宋体"/>
          <w:spacing w:val="10"/>
          <w:kern w:val="2"/>
          <w:sz w:val="36"/>
          <w:szCs w:val="36"/>
        </w:rPr>
        <w:t>须知</w:t>
      </w:r>
      <w:bookmarkEnd w:id="3"/>
      <w:bookmarkEnd w:id="4"/>
      <w:bookmarkEnd w:id="5"/>
      <w:bookmarkEnd w:id="6"/>
      <w:bookmarkEnd w:id="7"/>
    </w:p>
    <w:p>
      <w:pPr>
        <w:rPr>
          <w:rFonts w:ascii="宋体" w:hAnsi="宋体" w:cs="宋体"/>
          <w:bCs/>
          <w:sz w:val="24"/>
        </w:rPr>
      </w:pPr>
      <w:r>
        <w:rPr>
          <w:rFonts w:hint="eastAsia" w:ascii="宋体" w:hAnsi="宋体" w:cs="宋体"/>
          <w:bCs/>
          <w:sz w:val="24"/>
          <w:lang w:val="en-US" w:eastAsia="zh-CN"/>
        </w:rPr>
        <w:t>意向企业</w:t>
      </w:r>
      <w:r>
        <w:rPr>
          <w:rFonts w:hint="eastAsia" w:ascii="宋体" w:hAnsi="宋体" w:cs="宋体"/>
          <w:bCs/>
          <w:sz w:val="24"/>
        </w:rPr>
        <w:t>须知前附表</w:t>
      </w:r>
    </w:p>
    <w:tbl>
      <w:tblPr>
        <w:tblStyle w:val="23"/>
        <w:tblW w:w="9679"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序号</w:t>
            </w:r>
          </w:p>
        </w:tc>
        <w:tc>
          <w:tcPr>
            <w:tcW w:w="89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sz w:val="28"/>
              </w:rPr>
            </w:pPr>
            <w:r>
              <w:rPr>
                <w:rFonts w:hint="eastAsia" w:ascii="宋体" w:hAnsi="宋体" w:cs="宋体"/>
                <w:bCs/>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8"/>
              </w:rPr>
            </w:pPr>
            <w:r>
              <w:rPr>
                <w:rFonts w:hint="eastAsia" w:ascii="宋体" w:hAnsi="宋体" w:cs="宋体"/>
                <w:bCs/>
                <w:sz w:val="28"/>
              </w:rPr>
              <w:t>1</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2"/>
                <w:szCs w:val="28"/>
              </w:rPr>
            </w:pPr>
            <w:r>
              <w:rPr>
                <w:rFonts w:hint="eastAsia" w:ascii="宋体" w:hAnsi="宋体" w:cs="宋体"/>
                <w:bCs/>
                <w:sz w:val="28"/>
              </w:rPr>
              <w:t>项目名称：运城市财经学校关于</w:t>
            </w:r>
            <w:r>
              <w:rPr>
                <w:rFonts w:hint="eastAsia" w:ascii="宋体" w:hAnsi="宋体" w:cs="宋体"/>
                <w:bCs/>
                <w:spacing w:val="7"/>
                <w:sz w:val="28"/>
                <w:szCs w:val="28"/>
              </w:rPr>
              <w:t>山西省第十</w:t>
            </w:r>
            <w:r>
              <w:rPr>
                <w:rFonts w:hint="eastAsia" w:ascii="宋体" w:hAnsi="宋体" w:cs="宋体"/>
                <w:bCs/>
                <w:spacing w:val="7"/>
                <w:sz w:val="28"/>
                <w:szCs w:val="28"/>
                <w:lang w:val="en-US" w:eastAsia="zh-CN"/>
              </w:rPr>
              <w:t>七</w:t>
            </w:r>
            <w:r>
              <w:rPr>
                <w:rFonts w:hint="eastAsia" w:ascii="宋体" w:hAnsi="宋体" w:cs="宋体"/>
                <w:bCs/>
                <w:spacing w:val="7"/>
                <w:sz w:val="28"/>
                <w:szCs w:val="28"/>
              </w:rPr>
              <w:t>届职业院校技能大赛-</w:t>
            </w:r>
            <w:r>
              <w:rPr>
                <w:rFonts w:hint="eastAsia" w:ascii="宋体" w:hAnsi="宋体" w:cs="宋体"/>
                <w:bCs/>
                <w:spacing w:val="7"/>
                <w:sz w:val="28"/>
                <w:szCs w:val="28"/>
                <w:lang w:val="en-US" w:eastAsia="zh-CN"/>
              </w:rPr>
              <w:t>动漫制作</w:t>
            </w:r>
            <w:r>
              <w:rPr>
                <w:rFonts w:hint="eastAsia" w:ascii="宋体" w:hAnsi="宋体" w:cs="宋体"/>
                <w:bCs/>
                <w:spacing w:val="7"/>
                <w:sz w:val="28"/>
                <w:szCs w:val="28"/>
              </w:rPr>
              <w:t>（中职组）赛项</w:t>
            </w:r>
            <w:r>
              <w:rPr>
                <w:rFonts w:hint="eastAsia" w:ascii="宋体" w:hAnsi="宋体" w:cs="宋体"/>
                <w:bCs/>
                <w:sz w:val="28"/>
              </w:rPr>
              <w:t xml:space="preserve">征集合作企业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8"/>
              </w:rPr>
            </w:pPr>
            <w:r>
              <w:rPr>
                <w:rFonts w:hint="eastAsia" w:ascii="宋体" w:hAnsi="宋体" w:cs="宋体"/>
                <w:bCs/>
                <w:sz w:val="28"/>
              </w:rPr>
              <w:t>2</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lang w:val="en-US" w:eastAsia="zh-CN"/>
              </w:rPr>
              <w:t>征集</w:t>
            </w:r>
            <w:r>
              <w:rPr>
                <w:rFonts w:hint="eastAsia" w:ascii="宋体" w:hAnsi="宋体" w:cs="宋体"/>
                <w:bCs/>
                <w:sz w:val="28"/>
              </w:rPr>
              <w:t>人：</w:t>
            </w:r>
            <w:r>
              <w:rPr>
                <w:rFonts w:hint="eastAsia" w:ascii="宋体" w:hAnsi="宋体" w:cs="宋体"/>
                <w:bCs/>
                <w:kern w:val="0"/>
                <w:sz w:val="28"/>
              </w:rPr>
              <w:t>运城市财经学校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8"/>
              </w:rPr>
            </w:pPr>
            <w:r>
              <w:rPr>
                <w:rFonts w:hint="eastAsia" w:ascii="宋体" w:hAnsi="宋体" w:cs="宋体"/>
                <w:bCs/>
                <w:sz w:val="28"/>
              </w:rPr>
              <w:t>3</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服务期限：签订合作协议至赛项举办结束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sz w:val="28"/>
              </w:rPr>
            </w:pPr>
            <w:r>
              <w:rPr>
                <w:rFonts w:hint="eastAsia" w:ascii="宋体" w:hAnsi="宋体" w:cs="宋体"/>
                <w:bCs/>
                <w:kern w:val="0"/>
                <w:sz w:val="28"/>
              </w:rPr>
              <w:t>4</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kern w:val="0"/>
                <w:sz w:val="28"/>
              </w:rPr>
            </w:pPr>
            <w:r>
              <w:rPr>
                <w:rFonts w:hint="eastAsia" w:ascii="宋体" w:hAnsi="宋体" w:cs="宋体"/>
                <w:bCs/>
                <w:sz w:val="28"/>
              </w:rPr>
              <w:t>时间：202</w:t>
            </w:r>
            <w:r>
              <w:rPr>
                <w:rFonts w:hint="eastAsia" w:ascii="宋体" w:hAnsi="宋体" w:cs="宋体"/>
                <w:bCs/>
                <w:sz w:val="28"/>
                <w:lang w:val="en-US" w:eastAsia="zh-CN"/>
              </w:rPr>
              <w:t>3</w:t>
            </w:r>
            <w:r>
              <w:rPr>
                <w:rFonts w:hint="eastAsia" w:ascii="宋体" w:hAnsi="宋体" w:cs="宋体"/>
                <w:bCs/>
                <w:sz w:val="28"/>
              </w:rPr>
              <w:t>年9月</w:t>
            </w:r>
            <w:r>
              <w:rPr>
                <w:rFonts w:hint="eastAsia" w:ascii="宋体" w:hAnsi="宋体" w:cs="宋体"/>
                <w:bCs/>
                <w:sz w:val="28"/>
                <w:lang w:val="en-US" w:eastAsia="zh-CN"/>
              </w:rPr>
              <w:t>12</w:t>
            </w:r>
            <w:r>
              <w:rPr>
                <w:rFonts w:hint="eastAsia" w:ascii="宋体" w:hAnsi="宋体" w:cs="宋体"/>
                <w:bCs/>
                <w:sz w:val="28"/>
              </w:rPr>
              <w:t>日星期</w:t>
            </w:r>
            <w:r>
              <w:rPr>
                <w:rFonts w:hint="eastAsia" w:ascii="宋体" w:hAnsi="宋体" w:cs="宋体"/>
                <w:bCs/>
                <w:sz w:val="28"/>
                <w:lang w:val="en-US" w:eastAsia="zh-CN"/>
              </w:rPr>
              <w:t>二下</w:t>
            </w:r>
            <w:r>
              <w:rPr>
                <w:rFonts w:hint="eastAsia" w:ascii="宋体" w:hAnsi="宋体" w:cs="宋体"/>
                <w:bCs/>
                <w:sz w:val="28"/>
              </w:rPr>
              <w:t>午</w:t>
            </w:r>
            <w:r>
              <w:rPr>
                <w:rFonts w:hint="eastAsia" w:ascii="宋体" w:hAnsi="宋体" w:cs="宋体"/>
                <w:bCs/>
                <w:sz w:val="28"/>
                <w:lang w:val="en-US" w:eastAsia="zh-CN"/>
              </w:rPr>
              <w:t>15</w:t>
            </w:r>
            <w:r>
              <w:rPr>
                <w:rFonts w:hint="eastAsia" w:ascii="宋体" w:hAnsi="宋体" w:cs="宋体"/>
                <w:bCs/>
                <w:sz w:val="28"/>
              </w:rPr>
              <w:t>:00点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sz w:val="28"/>
              </w:rPr>
            </w:pPr>
            <w:r>
              <w:rPr>
                <w:rFonts w:hint="eastAsia" w:ascii="宋体" w:hAnsi="宋体" w:cs="宋体"/>
                <w:bCs/>
                <w:kern w:val="0"/>
                <w:sz w:val="28"/>
              </w:rPr>
              <w:t>5</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kern w:val="0"/>
                <w:sz w:val="28"/>
              </w:rPr>
            </w:pPr>
            <w:r>
              <w:rPr>
                <w:rFonts w:hint="eastAsia" w:ascii="宋体" w:hAnsi="宋体" w:cs="宋体"/>
                <w:bCs/>
                <w:kern w:val="0"/>
                <w:sz w:val="28"/>
              </w:rPr>
              <w:t>地点：运城市财经学校办</w:t>
            </w:r>
            <w:r>
              <w:rPr>
                <w:rFonts w:ascii="宋体" w:hAnsi="宋体" w:cs="宋体"/>
                <w:bCs/>
                <w:kern w:val="0"/>
                <w:sz w:val="28"/>
              </w:rPr>
              <w:t>公楼</w:t>
            </w:r>
            <w:r>
              <w:rPr>
                <w:rFonts w:hint="eastAsia" w:ascii="宋体" w:hAnsi="宋体" w:cs="宋体"/>
                <w:bCs/>
                <w:kern w:val="0"/>
                <w:sz w:val="28"/>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sz w:val="28"/>
              </w:rPr>
            </w:pPr>
            <w:r>
              <w:rPr>
                <w:rFonts w:hint="eastAsia" w:ascii="宋体" w:hAnsi="宋体" w:cs="宋体"/>
                <w:bCs/>
                <w:kern w:val="0"/>
                <w:sz w:val="28"/>
              </w:rPr>
              <w:t>6</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kern w:val="0"/>
                <w:sz w:val="28"/>
              </w:rPr>
            </w:pPr>
            <w:r>
              <w:rPr>
                <w:rFonts w:hint="eastAsia" w:ascii="宋体" w:hAnsi="宋体" w:cs="宋体"/>
                <w:bCs/>
                <w:kern w:val="0"/>
                <w:sz w:val="28"/>
              </w:rPr>
              <w:t>采购预算：0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8"/>
              </w:rPr>
            </w:pPr>
            <w:r>
              <w:rPr>
                <w:rFonts w:hint="eastAsia" w:ascii="宋体" w:hAnsi="宋体" w:cs="宋体"/>
                <w:bCs/>
                <w:sz w:val="28"/>
              </w:rPr>
              <w:t>7</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文件有效期：</w:t>
            </w:r>
            <w:r>
              <w:rPr>
                <w:rFonts w:hint="eastAsia" w:ascii="宋体" w:hAnsi="宋体" w:cs="宋体"/>
                <w:bCs/>
                <w:kern w:val="0"/>
                <w:sz w:val="28"/>
                <w:lang w:val="en-US" w:eastAsia="zh-CN"/>
              </w:rPr>
              <w:t>意向企业</w:t>
            </w:r>
            <w:r>
              <w:rPr>
                <w:rFonts w:hint="eastAsia" w:ascii="宋体" w:hAnsi="宋体" w:cs="宋体"/>
                <w:bCs/>
                <w:kern w:val="0"/>
                <w:sz w:val="28"/>
              </w:rPr>
              <w:t>提交</w:t>
            </w:r>
            <w:r>
              <w:rPr>
                <w:rFonts w:hint="eastAsia" w:ascii="宋体" w:hAnsi="宋体" w:cs="宋体"/>
                <w:bCs/>
                <w:kern w:val="0"/>
                <w:sz w:val="28"/>
                <w:lang w:val="en-US" w:eastAsia="zh-CN"/>
              </w:rPr>
              <w:t>合作意向书</w:t>
            </w:r>
            <w:r>
              <w:rPr>
                <w:rFonts w:hint="eastAsia" w:ascii="宋体" w:hAnsi="宋体" w:cs="宋体"/>
                <w:bCs/>
                <w:kern w:val="0"/>
                <w:sz w:val="28"/>
              </w:rPr>
              <w:t>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8"/>
                <w:lang w:eastAsia="zh-CN"/>
              </w:rPr>
            </w:pPr>
            <w:r>
              <w:rPr>
                <w:rFonts w:hint="eastAsia" w:ascii="宋体" w:hAnsi="宋体" w:cs="宋体"/>
                <w:bCs/>
                <w:sz w:val="28"/>
                <w:lang w:val="en-US" w:eastAsia="zh-CN"/>
              </w:rPr>
              <w:t>8</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文件数量：1正2副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8"/>
                <w:lang w:eastAsia="zh-CN"/>
              </w:rPr>
            </w:pPr>
            <w:r>
              <w:rPr>
                <w:rFonts w:hint="eastAsia" w:ascii="宋体" w:hAnsi="宋体" w:cs="宋体"/>
                <w:bCs/>
                <w:sz w:val="28"/>
                <w:lang w:val="en-US" w:eastAsia="zh-CN"/>
              </w:rPr>
              <w:t>9</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lang w:val="en-US" w:eastAsia="zh-CN"/>
              </w:rPr>
              <w:t>评审</w:t>
            </w:r>
            <w:r>
              <w:rPr>
                <w:rFonts w:hint="eastAsia" w:ascii="宋体" w:hAnsi="宋体" w:cs="宋体"/>
                <w:bCs/>
                <w:sz w:val="28"/>
              </w:rPr>
              <w:t>原则：本项目采用综合评分法，按评审因素的量化指标评审得分最高的</w:t>
            </w:r>
            <w:r>
              <w:rPr>
                <w:rFonts w:hint="eastAsia" w:ascii="宋体" w:hAnsi="宋体" w:cs="宋体"/>
                <w:bCs/>
                <w:sz w:val="28"/>
                <w:lang w:val="en-US" w:eastAsia="zh-CN"/>
              </w:rPr>
              <w:t>意向企业</w:t>
            </w:r>
            <w:r>
              <w:rPr>
                <w:rFonts w:hint="eastAsia" w:ascii="宋体" w:hAnsi="宋体" w:cs="宋体"/>
                <w:bCs/>
                <w:sz w:val="28"/>
              </w:rPr>
              <w:t>确定为</w:t>
            </w:r>
            <w:r>
              <w:rPr>
                <w:rFonts w:hint="eastAsia" w:ascii="宋体" w:hAnsi="宋体" w:cs="宋体"/>
                <w:bCs/>
                <w:sz w:val="28"/>
                <w:lang w:val="en-US" w:eastAsia="zh-CN"/>
              </w:rPr>
              <w:t>企业候选人</w:t>
            </w:r>
            <w:bookmarkStart w:id="108" w:name="_GoBack"/>
            <w:bookmarkEnd w:id="108"/>
            <w:r>
              <w:rPr>
                <w:rFonts w:hint="eastAsia" w:ascii="宋体" w:hAnsi="宋体" w:cs="宋体"/>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8"/>
                <w:lang w:eastAsia="zh-CN"/>
              </w:rPr>
            </w:pPr>
            <w:r>
              <w:rPr>
                <w:rFonts w:hint="eastAsia" w:ascii="宋体" w:hAnsi="宋体" w:cs="宋体"/>
                <w:bCs/>
                <w:sz w:val="28"/>
              </w:rPr>
              <w:t>1</w:t>
            </w:r>
            <w:r>
              <w:rPr>
                <w:rFonts w:hint="eastAsia" w:ascii="宋体" w:hAnsi="宋体" w:cs="宋体"/>
                <w:bCs/>
                <w:sz w:val="28"/>
                <w:lang w:val="en-US" w:eastAsia="zh-CN"/>
              </w:rPr>
              <w:t>0</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评</w:t>
            </w:r>
            <w:r>
              <w:rPr>
                <w:rFonts w:hint="eastAsia" w:ascii="宋体" w:hAnsi="宋体" w:cs="宋体"/>
                <w:bCs/>
                <w:sz w:val="28"/>
                <w:lang w:val="en-US" w:eastAsia="zh-CN"/>
              </w:rPr>
              <w:t>审</w:t>
            </w:r>
            <w:r>
              <w:rPr>
                <w:rFonts w:hint="eastAsia" w:ascii="宋体" w:hAnsi="宋体" w:cs="宋体"/>
                <w:bCs/>
                <w:sz w:val="28"/>
              </w:rPr>
              <w:t>委员会组成：评审专家由该项目所在专业教学指导委员会确定推荐专家范围，申办院校在范围内确定评审专家3名。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8"/>
                <w:lang w:eastAsia="zh-CN"/>
              </w:rPr>
            </w:pPr>
            <w:r>
              <w:rPr>
                <w:rFonts w:hint="eastAsia" w:ascii="宋体" w:hAnsi="宋体" w:cs="宋体"/>
                <w:bCs/>
                <w:sz w:val="28"/>
              </w:rPr>
              <w:t>1</w:t>
            </w:r>
            <w:r>
              <w:rPr>
                <w:rFonts w:hint="eastAsia" w:ascii="宋体" w:hAnsi="宋体" w:cs="宋体"/>
                <w:bCs/>
                <w:sz w:val="28"/>
                <w:lang w:val="en-US" w:eastAsia="zh-CN"/>
              </w:rPr>
              <w:t>1</w:t>
            </w:r>
          </w:p>
        </w:tc>
        <w:tc>
          <w:tcPr>
            <w:tcW w:w="896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sz w:val="28"/>
              </w:rPr>
            </w:pPr>
            <w:r>
              <w:rPr>
                <w:rFonts w:hint="eastAsia" w:ascii="宋体" w:hAnsi="宋体" w:cs="宋体"/>
                <w:bCs/>
                <w:sz w:val="28"/>
              </w:rPr>
              <w:t>组织</w:t>
            </w:r>
            <w:r>
              <w:rPr>
                <w:rFonts w:hint="eastAsia" w:ascii="宋体" w:hAnsi="宋体" w:cs="宋体"/>
                <w:bCs/>
                <w:sz w:val="28"/>
                <w:lang w:val="en-US" w:eastAsia="zh-CN"/>
              </w:rPr>
              <w:t>评审</w:t>
            </w:r>
            <w:r>
              <w:rPr>
                <w:rFonts w:hint="eastAsia" w:ascii="宋体" w:hAnsi="宋体" w:cs="宋体"/>
                <w:bCs/>
                <w:sz w:val="28"/>
              </w:rPr>
              <w:t>。</w:t>
            </w:r>
            <w:r>
              <w:rPr>
                <w:rFonts w:hint="eastAsia" w:ascii="宋体" w:hAnsi="宋体" w:cs="宋体"/>
                <w:bCs/>
                <w:sz w:val="28"/>
                <w:lang w:val="en-US" w:eastAsia="zh-CN"/>
              </w:rPr>
              <w:t>评审</w:t>
            </w:r>
            <w:r>
              <w:rPr>
                <w:rFonts w:hint="eastAsia" w:ascii="宋体" w:hAnsi="宋体" w:cs="宋体"/>
                <w:bCs/>
                <w:sz w:val="28"/>
              </w:rPr>
              <w:t>工作请当地公证处全程参与，全程录像。参加答辩的企业、个人禁止携带通讯设备、摄录设备入场。</w:t>
            </w:r>
          </w:p>
        </w:tc>
      </w:tr>
    </w:tbl>
    <w:p>
      <w:pPr>
        <w:pStyle w:val="5"/>
        <w:rPr>
          <w:rFonts w:ascii="宋体" w:hAnsi="宋体" w:cs="宋体"/>
          <w:spacing w:val="10"/>
          <w:kern w:val="2"/>
          <w:sz w:val="36"/>
          <w:szCs w:val="36"/>
        </w:rPr>
      </w:pPr>
      <w:bookmarkStart w:id="8" w:name="_Toc6591"/>
      <w:bookmarkStart w:id="9" w:name="_Toc22713"/>
      <w:r>
        <w:rPr>
          <w:rFonts w:hint="eastAsia" w:ascii="宋体" w:hAnsi="宋体" w:cs="宋体"/>
          <w:spacing w:val="10"/>
          <w:kern w:val="2"/>
          <w:sz w:val="36"/>
          <w:szCs w:val="36"/>
        </w:rPr>
        <w:t>第二章 合作企业提供材料明细</w:t>
      </w:r>
      <w:bookmarkEnd w:id="8"/>
      <w:bookmarkEnd w:id="9"/>
    </w:p>
    <w:p>
      <w:pPr>
        <w:spacing w:before="120" w:beforeLines="50" w:after="120" w:afterLines="50" w:line="360" w:lineRule="auto"/>
        <w:outlineLvl w:val="0"/>
        <w:rPr>
          <w:rFonts w:ascii="宋体" w:hAnsi="宋体" w:cs="宋体"/>
          <w:bCs/>
          <w:spacing w:val="10"/>
          <w:sz w:val="28"/>
          <w:szCs w:val="28"/>
        </w:rPr>
      </w:pPr>
      <w:bookmarkStart w:id="10" w:name="_Toc10220"/>
      <w:bookmarkStart w:id="11" w:name="_Toc11333"/>
      <w:r>
        <w:rPr>
          <w:rFonts w:hint="eastAsia" w:ascii="宋体" w:hAnsi="宋体" w:cs="宋体"/>
          <w:bCs/>
          <w:spacing w:val="10"/>
          <w:sz w:val="28"/>
          <w:szCs w:val="28"/>
        </w:rPr>
        <w:t>(一) 企业基本情况</w:t>
      </w:r>
      <w:bookmarkEnd w:id="10"/>
      <w:bookmarkEnd w:id="11"/>
    </w:p>
    <w:p>
      <w:pPr>
        <w:spacing w:before="120" w:beforeLines="50" w:after="120" w:afterLines="50" w:line="360" w:lineRule="auto"/>
        <w:outlineLvl w:val="0"/>
        <w:rPr>
          <w:rFonts w:ascii="宋体" w:hAnsi="宋体" w:cs="宋体"/>
          <w:bCs/>
          <w:spacing w:val="10"/>
          <w:sz w:val="24"/>
        </w:rPr>
      </w:pPr>
      <w:bookmarkStart w:id="12" w:name="_Toc10064"/>
      <w:bookmarkStart w:id="13" w:name="_Toc5646"/>
      <w:r>
        <w:rPr>
          <w:rFonts w:hint="eastAsia" w:ascii="宋体" w:hAnsi="宋体" w:cs="宋体"/>
          <w:bCs/>
          <w:spacing w:val="10"/>
          <w:sz w:val="24"/>
        </w:rPr>
        <w:t>1.  有效的营业执照副本或法人证书副本(复印件加盖公章)。</w:t>
      </w:r>
      <w:bookmarkEnd w:id="12"/>
      <w:bookmarkEnd w:id="13"/>
    </w:p>
    <w:p>
      <w:pPr>
        <w:spacing w:before="120" w:beforeLines="50" w:after="120" w:afterLines="50" w:line="360" w:lineRule="auto"/>
        <w:outlineLvl w:val="0"/>
        <w:rPr>
          <w:rFonts w:ascii="宋体" w:hAnsi="宋体" w:cs="宋体"/>
          <w:bCs/>
          <w:spacing w:val="10"/>
          <w:sz w:val="24"/>
        </w:rPr>
      </w:pPr>
      <w:bookmarkStart w:id="14" w:name="_Toc13078"/>
      <w:bookmarkStart w:id="15" w:name="_Toc15700"/>
      <w:r>
        <w:rPr>
          <w:rFonts w:hint="eastAsia" w:ascii="宋体" w:hAnsi="宋体" w:cs="宋体"/>
          <w:bCs/>
          <w:spacing w:val="10"/>
          <w:sz w:val="24"/>
        </w:rPr>
        <w:t>2.  最近半年内任意一个月的纳税有效凭据或相关部门出具的依法纳税有效证明文件(复印件加盖公章)。</w:t>
      </w:r>
      <w:bookmarkEnd w:id="14"/>
      <w:bookmarkEnd w:id="15"/>
    </w:p>
    <w:p>
      <w:pPr>
        <w:spacing w:before="120" w:beforeLines="50" w:after="120" w:afterLines="50" w:line="360" w:lineRule="auto"/>
        <w:outlineLvl w:val="0"/>
        <w:rPr>
          <w:rFonts w:ascii="宋体" w:hAnsi="宋体" w:cs="宋体"/>
          <w:bCs/>
          <w:spacing w:val="10"/>
          <w:sz w:val="24"/>
        </w:rPr>
      </w:pPr>
      <w:bookmarkStart w:id="16" w:name="_Toc16160"/>
      <w:bookmarkStart w:id="17" w:name="_Toc32655"/>
      <w:r>
        <w:rPr>
          <w:rFonts w:hint="eastAsia" w:ascii="宋体" w:hAnsi="宋体" w:cs="宋体"/>
          <w:bCs/>
          <w:spacing w:val="10"/>
          <w:sz w:val="24"/>
        </w:rPr>
        <w:t>3.  法定代表人身份证(复印件加盖公章)、授权委托书(原件)、联系电话、邮箱等信息。</w:t>
      </w:r>
      <w:bookmarkEnd w:id="16"/>
      <w:bookmarkEnd w:id="17"/>
    </w:p>
    <w:p>
      <w:pPr>
        <w:spacing w:before="120" w:beforeLines="50" w:after="120" w:afterLines="50" w:line="360" w:lineRule="auto"/>
        <w:outlineLvl w:val="0"/>
        <w:rPr>
          <w:rFonts w:ascii="宋体" w:hAnsi="宋体" w:cs="宋体"/>
          <w:bCs/>
          <w:spacing w:val="10"/>
          <w:sz w:val="28"/>
          <w:szCs w:val="28"/>
        </w:rPr>
      </w:pPr>
      <w:bookmarkStart w:id="18" w:name="_Toc25954"/>
      <w:bookmarkStart w:id="19" w:name="_Toc7908"/>
      <w:r>
        <w:rPr>
          <w:rFonts w:hint="eastAsia" w:ascii="宋体" w:hAnsi="宋体" w:cs="宋体"/>
          <w:bCs/>
          <w:spacing w:val="10"/>
          <w:sz w:val="28"/>
          <w:szCs w:val="28"/>
        </w:rPr>
        <w:t>(二) 企业资信与社会声誉</w:t>
      </w:r>
      <w:bookmarkEnd w:id="18"/>
      <w:bookmarkEnd w:id="19"/>
    </w:p>
    <w:p>
      <w:pPr>
        <w:spacing w:before="120" w:beforeLines="50" w:after="120" w:afterLines="50" w:line="360" w:lineRule="auto"/>
        <w:outlineLvl w:val="0"/>
        <w:rPr>
          <w:rFonts w:ascii="宋体" w:hAnsi="宋体" w:cs="宋体"/>
          <w:bCs/>
          <w:spacing w:val="10"/>
          <w:sz w:val="24"/>
        </w:rPr>
      </w:pPr>
      <w:bookmarkStart w:id="20" w:name="_Toc9282"/>
      <w:bookmarkStart w:id="21" w:name="_Toc18994"/>
      <w:r>
        <w:rPr>
          <w:rFonts w:hint="eastAsia" w:ascii="宋体" w:hAnsi="宋体" w:cs="宋体"/>
          <w:bCs/>
          <w:spacing w:val="10"/>
          <w:sz w:val="24"/>
        </w:rPr>
        <w:t>1.  在“ 全国法院失信被执行人名单信息公布与查询”平台</w:t>
      </w:r>
      <w:bookmarkEnd w:id="20"/>
      <w:bookmarkEnd w:id="21"/>
    </w:p>
    <w:p>
      <w:pPr>
        <w:spacing w:before="120" w:beforeLines="50" w:after="120" w:afterLines="50" w:line="360" w:lineRule="auto"/>
        <w:outlineLvl w:val="0"/>
        <w:rPr>
          <w:rFonts w:ascii="宋体" w:hAnsi="宋体" w:cs="宋体"/>
          <w:bCs/>
          <w:spacing w:val="10"/>
          <w:sz w:val="24"/>
        </w:rPr>
      </w:pPr>
      <w:bookmarkStart w:id="22" w:name="_Toc12527"/>
      <w:bookmarkStart w:id="23" w:name="_Toc27077"/>
      <w:r>
        <w:rPr>
          <w:rFonts w:hint="eastAsia" w:ascii="宋体" w:hAnsi="宋体" w:cs="宋体"/>
          <w:bCs/>
          <w:spacing w:val="10"/>
          <w:sz w:val="24"/>
        </w:rPr>
        <w:t xml:space="preserve">( </w:t>
      </w:r>
      <w:r>
        <w:fldChar w:fldCharType="begin"/>
      </w:r>
      <w:r>
        <w:instrText xml:space="preserve"> HYPERLINK </w:instrText>
      </w:r>
      <w:r>
        <w:fldChar w:fldCharType="separate"/>
      </w:r>
      <w:r>
        <w:rPr>
          <w:rFonts w:hint="eastAsia" w:ascii="宋体" w:hAnsi="宋体" w:cs="宋体"/>
          <w:bCs/>
          <w:spacing w:val="10"/>
          <w:sz w:val="24"/>
        </w:rPr>
        <w:t>http:// zxgk.court.gov.cn/shixin</w:t>
      </w:r>
      <w:r>
        <w:rPr>
          <w:rFonts w:hint="eastAsia" w:ascii="宋体" w:hAnsi="宋体" w:cs="宋体"/>
          <w:bCs/>
          <w:spacing w:val="10"/>
          <w:sz w:val="24"/>
        </w:rPr>
        <w:fldChar w:fldCharType="end"/>
      </w:r>
      <w:r>
        <w:rPr>
          <w:rFonts w:hint="eastAsia" w:ascii="宋体" w:hAnsi="宋体" w:cs="宋体"/>
          <w:bCs/>
          <w:spacing w:val="10"/>
          <w:sz w:val="24"/>
        </w:rPr>
        <w:t xml:space="preserve"> ) 中查询记录(加盖公章)。</w:t>
      </w:r>
      <w:bookmarkEnd w:id="22"/>
      <w:bookmarkEnd w:id="23"/>
    </w:p>
    <w:p>
      <w:pPr>
        <w:spacing w:before="120" w:beforeLines="50" w:after="120" w:afterLines="50" w:line="360" w:lineRule="auto"/>
        <w:outlineLvl w:val="0"/>
        <w:rPr>
          <w:rFonts w:ascii="宋体" w:hAnsi="宋体" w:cs="宋体"/>
          <w:bCs/>
          <w:spacing w:val="10"/>
          <w:sz w:val="24"/>
        </w:rPr>
      </w:pPr>
      <w:bookmarkStart w:id="24" w:name="_Toc22872"/>
      <w:bookmarkStart w:id="25" w:name="_Toc10591"/>
      <w:r>
        <w:rPr>
          <w:rFonts w:hint="eastAsia" w:ascii="宋体" w:hAnsi="宋体" w:cs="宋体"/>
          <w:bCs/>
          <w:spacing w:val="10"/>
          <w:sz w:val="24"/>
        </w:rPr>
        <w:t>2. 在国家企业信用信息公示系统中查询记录(加盖公章)</w:t>
      </w:r>
      <w:bookmarkEnd w:id="24"/>
      <w:bookmarkEnd w:id="25"/>
    </w:p>
    <w:p>
      <w:pPr>
        <w:spacing w:before="120" w:beforeLines="50" w:after="120" w:afterLines="50" w:line="360" w:lineRule="auto"/>
        <w:outlineLvl w:val="0"/>
        <w:rPr>
          <w:rFonts w:ascii="宋体" w:hAnsi="宋体" w:cs="宋体"/>
          <w:bCs/>
          <w:spacing w:val="10"/>
          <w:sz w:val="24"/>
        </w:rPr>
      </w:pPr>
      <w:r>
        <w:rPr>
          <w:rFonts w:hint="eastAsia" w:ascii="宋体" w:hAnsi="宋体" w:cs="宋体"/>
          <w:bCs/>
          <w:spacing w:val="10"/>
          <w:sz w:val="24"/>
        </w:rPr>
        <w:t xml:space="preserve"> </w:t>
      </w:r>
      <w:bookmarkStart w:id="26" w:name="_Toc13703"/>
      <w:bookmarkStart w:id="27" w:name="_Toc18294"/>
      <w:r>
        <w:rPr>
          <w:rFonts w:hint="eastAsia" w:ascii="宋体" w:hAnsi="宋体" w:cs="宋体"/>
          <w:bCs/>
          <w:spacing w:val="10"/>
          <w:sz w:val="24"/>
        </w:rPr>
        <w:t xml:space="preserve">( </w:t>
      </w:r>
      <w:r>
        <w:fldChar w:fldCharType="begin"/>
      </w:r>
      <w:r>
        <w:instrText xml:space="preserve"> HYPERLINK "http://www.gsxt.gov.cn" </w:instrText>
      </w:r>
      <w:r>
        <w:fldChar w:fldCharType="separate"/>
      </w:r>
      <w:r>
        <w:rPr>
          <w:rFonts w:hint="eastAsia" w:ascii="宋体" w:hAnsi="宋体" w:cs="宋体"/>
          <w:bCs/>
          <w:spacing w:val="10"/>
          <w:sz w:val="24"/>
        </w:rPr>
        <w:t>http://www.gsxt.gov.cn</w:t>
      </w:r>
      <w:r>
        <w:rPr>
          <w:rFonts w:hint="eastAsia" w:ascii="宋体" w:hAnsi="宋体" w:cs="宋体"/>
          <w:bCs/>
          <w:spacing w:val="10"/>
          <w:sz w:val="24"/>
        </w:rPr>
        <w:fldChar w:fldCharType="end"/>
      </w:r>
      <w:r>
        <w:rPr>
          <w:rFonts w:hint="eastAsia" w:ascii="宋体" w:hAnsi="宋体" w:cs="宋体"/>
          <w:bCs/>
          <w:spacing w:val="10"/>
          <w:sz w:val="24"/>
        </w:rPr>
        <w:t xml:space="preserve"> )。</w:t>
      </w:r>
      <w:bookmarkEnd w:id="26"/>
      <w:bookmarkEnd w:id="27"/>
    </w:p>
    <w:p>
      <w:pPr>
        <w:spacing w:before="120" w:beforeLines="50" w:after="120" w:afterLines="50" w:line="360" w:lineRule="auto"/>
        <w:outlineLvl w:val="0"/>
        <w:rPr>
          <w:rFonts w:ascii="宋体" w:hAnsi="宋体" w:cs="宋体"/>
          <w:bCs/>
          <w:spacing w:val="10"/>
          <w:sz w:val="24"/>
        </w:rPr>
      </w:pPr>
      <w:bookmarkStart w:id="28" w:name="_Toc3847"/>
      <w:bookmarkStart w:id="29" w:name="_Toc32343"/>
      <w:r>
        <w:rPr>
          <w:rFonts w:hint="eastAsia" w:ascii="宋体" w:hAnsi="宋体" w:cs="宋体"/>
          <w:bCs/>
          <w:spacing w:val="10"/>
          <w:sz w:val="24"/>
        </w:rPr>
        <w:t>3.  企业行业资信等级证书材料(加盖公章)。</w:t>
      </w:r>
      <w:bookmarkEnd w:id="28"/>
      <w:bookmarkEnd w:id="29"/>
    </w:p>
    <w:p>
      <w:pPr>
        <w:spacing w:before="120" w:beforeLines="50" w:after="120" w:afterLines="50" w:line="360" w:lineRule="auto"/>
        <w:outlineLvl w:val="0"/>
        <w:rPr>
          <w:rFonts w:ascii="宋体" w:hAnsi="宋体" w:cs="宋体"/>
          <w:bCs/>
          <w:spacing w:val="10"/>
          <w:sz w:val="24"/>
        </w:rPr>
      </w:pPr>
      <w:bookmarkStart w:id="30" w:name="_Toc26951"/>
      <w:bookmarkStart w:id="31" w:name="_Toc13053"/>
      <w:r>
        <w:rPr>
          <w:rFonts w:hint="eastAsia" w:ascii="宋体" w:hAnsi="宋体" w:cs="宋体"/>
          <w:bCs/>
          <w:spacing w:val="10"/>
          <w:sz w:val="24"/>
        </w:rPr>
        <w:t>4.  企业近一年的营业收入和审计报告 (加盖公章)。</w:t>
      </w:r>
      <w:bookmarkEnd w:id="30"/>
      <w:bookmarkEnd w:id="31"/>
    </w:p>
    <w:p>
      <w:pPr>
        <w:spacing w:before="120" w:beforeLines="50" w:after="120" w:afterLines="50" w:line="360" w:lineRule="auto"/>
        <w:outlineLvl w:val="0"/>
        <w:rPr>
          <w:rFonts w:ascii="宋体" w:hAnsi="宋体" w:cs="宋体"/>
          <w:bCs/>
          <w:spacing w:val="10"/>
          <w:sz w:val="24"/>
        </w:rPr>
      </w:pPr>
      <w:bookmarkStart w:id="32" w:name="_Toc8956"/>
      <w:bookmarkStart w:id="33" w:name="_Toc21408"/>
      <w:r>
        <w:rPr>
          <w:rFonts w:hint="eastAsia" w:ascii="宋体" w:hAnsi="宋体" w:cs="宋体"/>
          <w:bCs/>
          <w:spacing w:val="10"/>
          <w:sz w:val="24"/>
        </w:rPr>
        <w:t>5.  企业近三年获得国家级、省级荣誉情况。</w:t>
      </w:r>
      <w:bookmarkEnd w:id="32"/>
      <w:bookmarkEnd w:id="33"/>
    </w:p>
    <w:p>
      <w:pPr>
        <w:spacing w:before="120" w:beforeLines="50" w:after="120" w:afterLines="50" w:line="360" w:lineRule="auto"/>
        <w:outlineLvl w:val="0"/>
        <w:rPr>
          <w:rFonts w:ascii="宋体" w:hAnsi="宋体" w:cs="宋体"/>
          <w:bCs/>
          <w:spacing w:val="10"/>
          <w:sz w:val="24"/>
        </w:rPr>
      </w:pPr>
      <w:bookmarkStart w:id="34" w:name="_Toc17784"/>
      <w:bookmarkStart w:id="35" w:name="_Toc14234"/>
      <w:r>
        <w:rPr>
          <w:rFonts w:hint="eastAsia" w:ascii="宋体" w:hAnsi="宋体" w:cs="宋体"/>
          <w:bCs/>
          <w:spacing w:val="10"/>
          <w:sz w:val="24"/>
        </w:rPr>
        <w:t>6.  企业质量管理体系认证材料(加盖公章)。</w:t>
      </w:r>
      <w:bookmarkEnd w:id="34"/>
      <w:bookmarkEnd w:id="35"/>
    </w:p>
    <w:p>
      <w:pPr>
        <w:spacing w:before="120" w:beforeLines="50" w:after="120" w:afterLines="50" w:line="360" w:lineRule="auto"/>
        <w:outlineLvl w:val="0"/>
        <w:rPr>
          <w:rFonts w:ascii="宋体" w:hAnsi="宋体" w:cs="宋体"/>
          <w:bCs/>
        </w:rPr>
      </w:pPr>
      <w:bookmarkStart w:id="36" w:name="_Toc24728"/>
      <w:bookmarkStart w:id="37" w:name="_Toc18612"/>
      <w:r>
        <w:rPr>
          <w:rFonts w:hint="eastAsia" w:ascii="宋体" w:hAnsi="宋体" w:cs="宋体"/>
          <w:bCs/>
          <w:spacing w:val="10"/>
          <w:sz w:val="24"/>
        </w:rPr>
        <w:t>7.  所申报的技术平台没有产权争议的承诺(加盖公章)。</w:t>
      </w:r>
      <w:bookmarkEnd w:id="36"/>
      <w:bookmarkEnd w:id="37"/>
    </w:p>
    <w:p>
      <w:pPr>
        <w:spacing w:before="120" w:beforeLines="50" w:after="120" w:afterLines="50" w:line="360" w:lineRule="auto"/>
        <w:outlineLvl w:val="0"/>
        <w:rPr>
          <w:rFonts w:ascii="宋体" w:hAnsi="宋体" w:cs="宋体"/>
          <w:bCs/>
          <w:spacing w:val="10"/>
          <w:sz w:val="28"/>
          <w:szCs w:val="28"/>
        </w:rPr>
      </w:pPr>
      <w:bookmarkStart w:id="38" w:name="_Toc13064"/>
      <w:bookmarkStart w:id="39" w:name="_Toc12903"/>
      <w:r>
        <w:rPr>
          <w:rFonts w:hint="eastAsia" w:ascii="宋体" w:hAnsi="宋体" w:cs="宋体"/>
          <w:bCs/>
          <w:spacing w:val="10"/>
          <w:sz w:val="28"/>
          <w:szCs w:val="28"/>
        </w:rPr>
        <w:t>(三) 校企合作情况</w:t>
      </w:r>
      <w:bookmarkEnd w:id="38"/>
      <w:bookmarkEnd w:id="39"/>
    </w:p>
    <w:p>
      <w:pPr>
        <w:spacing w:before="120" w:beforeLines="50" w:after="120" w:afterLines="50" w:line="360" w:lineRule="auto"/>
        <w:outlineLvl w:val="0"/>
        <w:rPr>
          <w:rFonts w:ascii="宋体" w:hAnsi="宋体" w:cs="宋体"/>
          <w:bCs/>
          <w:spacing w:val="10"/>
          <w:sz w:val="24"/>
        </w:rPr>
      </w:pPr>
      <w:bookmarkStart w:id="40" w:name="_Toc3503"/>
      <w:bookmarkStart w:id="41" w:name="_Toc25102"/>
      <w:r>
        <w:rPr>
          <w:rFonts w:hint="eastAsia" w:ascii="宋体" w:hAnsi="宋体" w:cs="宋体"/>
          <w:bCs/>
          <w:spacing w:val="10"/>
          <w:sz w:val="24"/>
        </w:rPr>
        <w:t>提供校企合作协议 (合同) 及采购协议 ( 合同、发票 ) 等 佐证材料，协议(合同)主要包括专业课程建设和实训室建设 等方面的内容。</w:t>
      </w:r>
      <w:bookmarkEnd w:id="40"/>
      <w:bookmarkEnd w:id="41"/>
    </w:p>
    <w:p>
      <w:pPr>
        <w:numPr>
          <w:ilvl w:val="0"/>
          <w:numId w:val="2"/>
        </w:numPr>
        <w:spacing w:before="120" w:beforeLines="50" w:after="120" w:afterLines="50" w:line="360" w:lineRule="auto"/>
        <w:outlineLvl w:val="0"/>
        <w:rPr>
          <w:rFonts w:ascii="宋体" w:hAnsi="宋体" w:cs="宋体"/>
          <w:bCs/>
          <w:spacing w:val="10"/>
          <w:sz w:val="28"/>
          <w:szCs w:val="28"/>
        </w:rPr>
      </w:pPr>
      <w:bookmarkStart w:id="42" w:name="_Toc6472"/>
      <w:bookmarkStart w:id="43" w:name="_Toc30725"/>
      <w:r>
        <w:rPr>
          <w:rFonts w:hint="eastAsia" w:ascii="宋体" w:hAnsi="宋体" w:cs="宋体"/>
          <w:bCs/>
          <w:spacing w:val="10"/>
          <w:sz w:val="28"/>
          <w:szCs w:val="28"/>
        </w:rPr>
        <w:t>大赛合作经历提供参与职业院校技能竞赛(国赛、省赛、市赛、行业赛等) 合作协议或相关佐证材料。</w:t>
      </w:r>
      <w:bookmarkEnd w:id="42"/>
      <w:bookmarkEnd w:id="43"/>
    </w:p>
    <w:p>
      <w:pPr>
        <w:spacing w:before="120" w:beforeLines="50" w:after="120" w:afterLines="50" w:line="360" w:lineRule="auto"/>
        <w:outlineLvl w:val="0"/>
        <w:rPr>
          <w:rFonts w:ascii="宋体" w:hAnsi="宋体" w:cs="宋体"/>
          <w:bCs/>
          <w:spacing w:val="10"/>
          <w:sz w:val="28"/>
          <w:szCs w:val="28"/>
        </w:rPr>
      </w:pPr>
      <w:bookmarkStart w:id="44" w:name="_Toc17865"/>
      <w:bookmarkStart w:id="45" w:name="_Toc12159"/>
      <w:r>
        <w:rPr>
          <w:rFonts w:hint="eastAsia" w:ascii="宋体" w:hAnsi="宋体" w:cs="宋体"/>
          <w:bCs/>
          <w:spacing w:val="10"/>
          <w:sz w:val="28"/>
          <w:szCs w:val="28"/>
        </w:rPr>
        <w:t>(五) 技术平台情况</w:t>
      </w:r>
      <w:bookmarkEnd w:id="44"/>
      <w:bookmarkEnd w:id="45"/>
    </w:p>
    <w:p>
      <w:pPr>
        <w:spacing w:before="120" w:beforeLines="50" w:after="120" w:afterLines="50" w:line="360" w:lineRule="auto"/>
        <w:outlineLvl w:val="0"/>
        <w:rPr>
          <w:rFonts w:ascii="宋体" w:hAnsi="宋体" w:cs="宋体"/>
          <w:bCs/>
          <w:spacing w:val="10"/>
          <w:sz w:val="24"/>
        </w:rPr>
      </w:pPr>
      <w:bookmarkStart w:id="46" w:name="_Toc29233"/>
      <w:bookmarkStart w:id="47" w:name="_Toc24258"/>
      <w:r>
        <w:rPr>
          <w:rFonts w:hint="eastAsia" w:ascii="宋体" w:hAnsi="宋体" w:cs="宋体"/>
          <w:bCs/>
          <w:spacing w:val="10"/>
          <w:sz w:val="24"/>
        </w:rPr>
        <w:t>1.  提供技术平台或设备版权证明材料 (加盖公章)</w:t>
      </w:r>
      <w:bookmarkEnd w:id="46"/>
      <w:bookmarkEnd w:id="47"/>
    </w:p>
    <w:p>
      <w:pPr>
        <w:spacing w:before="120" w:beforeLines="50" w:after="120" w:afterLines="50" w:line="360" w:lineRule="auto"/>
        <w:outlineLvl w:val="0"/>
        <w:rPr>
          <w:rFonts w:ascii="宋体" w:hAnsi="宋体" w:cs="宋体"/>
          <w:bCs/>
          <w:spacing w:val="10"/>
          <w:sz w:val="24"/>
        </w:rPr>
      </w:pPr>
      <w:bookmarkStart w:id="48" w:name="_Toc7631"/>
      <w:bookmarkStart w:id="49" w:name="_Toc25713"/>
      <w:r>
        <w:rPr>
          <w:rFonts w:hint="eastAsia" w:ascii="宋体" w:hAnsi="宋体" w:cs="宋体"/>
          <w:bCs/>
          <w:spacing w:val="10"/>
          <w:sz w:val="24"/>
        </w:rPr>
        <w:t>2.  提供技术平台或设备与赛项的匹配度说明材料(加盖公章)。</w:t>
      </w:r>
      <w:bookmarkEnd w:id="48"/>
      <w:bookmarkEnd w:id="49"/>
    </w:p>
    <w:p>
      <w:pPr>
        <w:spacing w:before="120" w:beforeLines="50" w:after="120" w:afterLines="50" w:line="360" w:lineRule="auto"/>
        <w:outlineLvl w:val="0"/>
        <w:rPr>
          <w:rFonts w:ascii="宋体" w:hAnsi="宋体" w:cs="宋体"/>
          <w:bCs/>
          <w:spacing w:val="10"/>
          <w:sz w:val="28"/>
          <w:szCs w:val="28"/>
        </w:rPr>
      </w:pPr>
      <w:bookmarkStart w:id="50" w:name="_Toc29351"/>
      <w:bookmarkStart w:id="51" w:name="_Toc7536"/>
      <w:r>
        <w:rPr>
          <w:rFonts w:hint="eastAsia" w:ascii="宋体" w:hAnsi="宋体" w:cs="宋体"/>
          <w:bCs/>
          <w:spacing w:val="10"/>
          <w:sz w:val="24"/>
        </w:rPr>
        <w:t>3.  提供技术平台市场占有率说明。</w:t>
      </w:r>
      <w:bookmarkEnd w:id="50"/>
      <w:bookmarkEnd w:id="51"/>
    </w:p>
    <w:p>
      <w:pPr>
        <w:spacing w:before="120" w:beforeLines="50" w:after="120" w:afterLines="50" w:line="360" w:lineRule="auto"/>
        <w:outlineLvl w:val="0"/>
        <w:rPr>
          <w:rFonts w:ascii="宋体" w:hAnsi="宋体" w:cs="宋体"/>
          <w:bCs/>
          <w:spacing w:val="10"/>
          <w:sz w:val="28"/>
          <w:szCs w:val="28"/>
        </w:rPr>
      </w:pPr>
      <w:bookmarkStart w:id="52" w:name="_Toc28280"/>
      <w:bookmarkStart w:id="53" w:name="_Toc18173"/>
      <w:r>
        <w:rPr>
          <w:rFonts w:hint="eastAsia" w:ascii="宋体" w:hAnsi="宋体" w:cs="宋体"/>
          <w:bCs/>
          <w:spacing w:val="10"/>
          <w:sz w:val="28"/>
          <w:szCs w:val="28"/>
        </w:rPr>
        <w:t>(六) 意向合作内容</w:t>
      </w:r>
      <w:bookmarkEnd w:id="52"/>
      <w:bookmarkEnd w:id="53"/>
    </w:p>
    <w:p>
      <w:pPr>
        <w:spacing w:before="120" w:beforeLines="50" w:after="120" w:afterLines="50" w:line="360" w:lineRule="auto"/>
        <w:outlineLvl w:val="0"/>
        <w:rPr>
          <w:rFonts w:ascii="宋体" w:hAnsi="宋体" w:cs="宋体"/>
          <w:bCs/>
          <w:spacing w:val="10"/>
          <w:sz w:val="24"/>
        </w:rPr>
      </w:pPr>
      <w:bookmarkStart w:id="54" w:name="_Toc29866"/>
      <w:bookmarkStart w:id="55" w:name="_Toc18339"/>
      <w:r>
        <w:rPr>
          <w:rFonts w:hint="eastAsia" w:ascii="宋体" w:hAnsi="宋体" w:cs="宋体"/>
          <w:bCs/>
          <w:spacing w:val="10"/>
          <w:sz w:val="24"/>
        </w:rPr>
        <w:t>1.  拟合作的赛项。</w:t>
      </w:r>
      <w:bookmarkEnd w:id="54"/>
      <w:bookmarkEnd w:id="55"/>
    </w:p>
    <w:p>
      <w:pPr>
        <w:spacing w:before="120" w:beforeLines="50" w:after="120" w:afterLines="50" w:line="360" w:lineRule="auto"/>
        <w:outlineLvl w:val="0"/>
        <w:rPr>
          <w:rFonts w:ascii="宋体" w:hAnsi="宋体" w:cs="宋体"/>
          <w:bCs/>
          <w:spacing w:val="10"/>
          <w:sz w:val="24"/>
        </w:rPr>
      </w:pPr>
      <w:bookmarkStart w:id="56" w:name="_Toc25399"/>
      <w:bookmarkStart w:id="57" w:name="_Toc13526"/>
      <w:r>
        <w:rPr>
          <w:rFonts w:hint="eastAsia" w:ascii="宋体" w:hAnsi="宋体" w:cs="宋体"/>
          <w:bCs/>
          <w:spacing w:val="10"/>
          <w:sz w:val="24"/>
        </w:rPr>
        <w:t>2.  向大赛提供的支持项目(设备、经费、技术等) 及数量。</w:t>
      </w:r>
      <w:bookmarkEnd w:id="56"/>
      <w:bookmarkEnd w:id="57"/>
    </w:p>
    <w:p>
      <w:pPr>
        <w:spacing w:before="120" w:beforeLines="50" w:after="120" w:afterLines="50" w:line="360" w:lineRule="auto"/>
        <w:outlineLvl w:val="0"/>
        <w:rPr>
          <w:rFonts w:ascii="宋体" w:hAnsi="宋体" w:cs="宋体"/>
          <w:bCs/>
          <w:spacing w:val="10"/>
          <w:sz w:val="24"/>
        </w:rPr>
      </w:pPr>
      <w:bookmarkStart w:id="58" w:name="_Toc41"/>
      <w:bookmarkStart w:id="59" w:name="_Toc13421"/>
      <w:r>
        <w:rPr>
          <w:rFonts w:hint="eastAsia" w:ascii="宋体" w:hAnsi="宋体" w:cs="宋体"/>
          <w:bCs/>
          <w:spacing w:val="10"/>
          <w:sz w:val="24"/>
        </w:rPr>
        <w:t>3.  提供竞赛设备一览表(技术平台与赛项的匹配度)。</w:t>
      </w:r>
      <w:bookmarkEnd w:id="58"/>
      <w:bookmarkEnd w:id="59"/>
    </w:p>
    <w:p>
      <w:pPr>
        <w:spacing w:before="120" w:beforeLines="50" w:after="120" w:afterLines="50" w:line="360" w:lineRule="auto"/>
        <w:outlineLvl w:val="0"/>
        <w:rPr>
          <w:rFonts w:ascii="宋体" w:hAnsi="宋体" w:cs="宋体"/>
          <w:bCs/>
          <w:spacing w:val="10"/>
          <w:sz w:val="24"/>
        </w:rPr>
      </w:pPr>
      <w:bookmarkStart w:id="60" w:name="_Toc1115"/>
      <w:bookmarkStart w:id="61" w:name="_Toc18789"/>
      <w:r>
        <w:rPr>
          <w:rFonts w:hint="eastAsia" w:ascii="宋体" w:hAnsi="宋体" w:cs="宋体"/>
          <w:bCs/>
          <w:spacing w:val="10"/>
          <w:sz w:val="24"/>
        </w:rPr>
        <w:t>4.  提供竞赛设备的图片、技术文件。</w:t>
      </w:r>
      <w:bookmarkEnd w:id="60"/>
      <w:bookmarkEnd w:id="61"/>
    </w:p>
    <w:p>
      <w:pPr>
        <w:spacing w:before="120" w:beforeLines="50" w:after="120" w:afterLines="50" w:line="360" w:lineRule="auto"/>
        <w:outlineLvl w:val="0"/>
        <w:rPr>
          <w:rFonts w:ascii="宋体" w:hAnsi="宋体" w:cs="宋体"/>
          <w:bCs/>
          <w:spacing w:val="10"/>
          <w:sz w:val="24"/>
        </w:rPr>
      </w:pPr>
      <w:bookmarkStart w:id="62" w:name="_Toc21346"/>
      <w:bookmarkStart w:id="63" w:name="_Toc26673"/>
      <w:r>
        <w:rPr>
          <w:rFonts w:hint="eastAsia" w:ascii="宋体" w:hAnsi="宋体" w:cs="宋体"/>
          <w:bCs/>
          <w:spacing w:val="10"/>
          <w:sz w:val="24"/>
        </w:rPr>
        <w:t>5.  承诺向参赛院校提供竞赛设备的优惠价格(不得高于政府采购价格)。</w:t>
      </w:r>
      <w:bookmarkEnd w:id="62"/>
      <w:bookmarkEnd w:id="63"/>
    </w:p>
    <w:p>
      <w:pPr>
        <w:spacing w:before="120" w:beforeLines="50" w:after="120" w:afterLines="50" w:line="360" w:lineRule="auto"/>
        <w:outlineLvl w:val="0"/>
        <w:rPr>
          <w:rFonts w:ascii="宋体" w:hAnsi="宋体" w:cs="宋体"/>
          <w:bCs/>
          <w:spacing w:val="10"/>
          <w:sz w:val="28"/>
          <w:szCs w:val="28"/>
        </w:rPr>
      </w:pPr>
      <w:bookmarkStart w:id="64" w:name="_Toc29356"/>
      <w:bookmarkStart w:id="65" w:name="_Toc17052"/>
      <w:r>
        <w:rPr>
          <w:rFonts w:hint="eastAsia" w:ascii="宋体" w:hAnsi="宋体" w:cs="宋体"/>
          <w:bCs/>
          <w:spacing w:val="10"/>
          <w:sz w:val="28"/>
          <w:szCs w:val="28"/>
        </w:rPr>
        <w:t>(七)以上提供材料真实可靠的承诺证明( 法人签字、公司盖章)</w:t>
      </w:r>
      <w:bookmarkEnd w:id="64"/>
      <w:bookmarkEnd w:id="65"/>
    </w:p>
    <w:p>
      <w:pPr>
        <w:spacing w:line="360" w:lineRule="auto"/>
        <w:ind w:firstLine="520" w:firstLineChars="200"/>
        <w:jc w:val="center"/>
        <w:rPr>
          <w:rFonts w:ascii="宋体" w:hAnsi="宋体" w:cs="宋体"/>
          <w:bCs/>
          <w:spacing w:val="10"/>
          <w:sz w:val="24"/>
        </w:rPr>
      </w:pPr>
    </w:p>
    <w:p>
      <w:pPr>
        <w:pStyle w:val="5"/>
      </w:pPr>
      <w:bookmarkStart w:id="66" w:name="_Toc21822"/>
      <w:bookmarkStart w:id="67" w:name="_Toc23558"/>
      <w:bookmarkStart w:id="68" w:name="_Toc55671673"/>
      <w:bookmarkStart w:id="69" w:name="_Toc55676417"/>
      <w:bookmarkStart w:id="70" w:name="_Toc28845"/>
      <w:r>
        <w:rPr>
          <w:rFonts w:hint="eastAsia"/>
        </w:rPr>
        <w:t xml:space="preserve">第三章 </w:t>
      </w:r>
      <w:r>
        <w:t>举办大赛相关活动或赛项需要的货币、实物和服务</w:t>
      </w:r>
      <w:bookmarkEnd w:id="66"/>
      <w:bookmarkEnd w:id="67"/>
    </w:p>
    <w:p>
      <w:pPr>
        <w:spacing w:before="120" w:beforeLines="50" w:after="120" w:afterLines="50" w:line="360" w:lineRule="auto"/>
        <w:outlineLvl w:val="0"/>
        <w:rPr>
          <w:rFonts w:ascii="宋体" w:hAnsi="宋体" w:cs="宋体"/>
          <w:bCs/>
          <w:spacing w:val="10"/>
          <w:sz w:val="28"/>
          <w:szCs w:val="28"/>
          <w:highlight w:val="none"/>
        </w:rPr>
      </w:pPr>
      <w:bookmarkStart w:id="71" w:name="_Toc17323"/>
      <w:bookmarkStart w:id="72" w:name="_Toc9843"/>
      <w:r>
        <w:rPr>
          <w:rFonts w:hint="eastAsia" w:ascii="宋体" w:hAnsi="宋体" w:cs="宋体"/>
          <w:bCs/>
          <w:spacing w:val="10"/>
          <w:sz w:val="28"/>
          <w:szCs w:val="28"/>
          <w:highlight w:val="none"/>
        </w:rPr>
        <w:t>货币：赛项需要的货币</w:t>
      </w:r>
      <w:r>
        <w:rPr>
          <w:rFonts w:ascii="宋体" w:hAnsi="宋体" w:cs="宋体"/>
          <w:bCs/>
          <w:spacing w:val="10"/>
          <w:sz w:val="28"/>
          <w:szCs w:val="28"/>
          <w:highlight w:val="none"/>
        </w:rPr>
        <w:t>10</w:t>
      </w:r>
      <w:r>
        <w:rPr>
          <w:rFonts w:hint="eastAsia" w:ascii="宋体" w:hAnsi="宋体" w:cs="宋体"/>
          <w:bCs/>
          <w:spacing w:val="10"/>
          <w:sz w:val="28"/>
          <w:szCs w:val="28"/>
          <w:highlight w:val="none"/>
        </w:rPr>
        <w:t>万元</w:t>
      </w:r>
      <w:bookmarkEnd w:id="71"/>
      <w:bookmarkEnd w:id="72"/>
    </w:p>
    <w:p>
      <w:pPr>
        <w:spacing w:before="120" w:beforeLines="50" w:after="120" w:afterLines="50" w:line="360" w:lineRule="auto"/>
        <w:outlineLvl w:val="0"/>
        <w:rPr>
          <w:rFonts w:ascii="宋体" w:hAnsi="宋体" w:cs="宋体"/>
          <w:bCs/>
          <w:spacing w:val="10"/>
          <w:sz w:val="28"/>
          <w:szCs w:val="28"/>
          <w:highlight w:val="none"/>
        </w:rPr>
      </w:pPr>
      <w:bookmarkStart w:id="73" w:name="_Toc28588"/>
      <w:bookmarkStart w:id="74" w:name="_Toc4379"/>
      <w:r>
        <w:rPr>
          <w:rFonts w:hint="eastAsia" w:ascii="宋体" w:hAnsi="宋体" w:cs="宋体"/>
          <w:bCs/>
          <w:spacing w:val="10"/>
          <w:sz w:val="28"/>
          <w:szCs w:val="28"/>
          <w:highlight w:val="none"/>
        </w:rPr>
        <w:t>实物：</w:t>
      </w:r>
      <w:r>
        <w:rPr>
          <w:rFonts w:hint="eastAsia" w:ascii="宋体" w:hAnsi="宋体" w:cs="宋体"/>
          <w:bCs/>
          <w:spacing w:val="10"/>
          <w:sz w:val="28"/>
          <w:szCs w:val="28"/>
          <w:highlight w:val="none"/>
          <w:lang w:val="en-US" w:eastAsia="zh-CN"/>
        </w:rPr>
        <w:t>交互式动漫制作</w:t>
      </w:r>
      <w:r>
        <w:rPr>
          <w:rFonts w:hint="eastAsia" w:ascii="宋体" w:hAnsi="宋体" w:cs="宋体"/>
          <w:bCs/>
          <w:spacing w:val="10"/>
          <w:sz w:val="28"/>
          <w:szCs w:val="28"/>
          <w:highlight w:val="none"/>
        </w:rPr>
        <w:t>平台</w:t>
      </w:r>
      <w:r>
        <w:rPr>
          <w:rFonts w:hint="eastAsia" w:ascii="宋体" w:hAnsi="宋体" w:cs="宋体"/>
          <w:bCs/>
          <w:spacing w:val="10"/>
          <w:sz w:val="28"/>
          <w:szCs w:val="28"/>
          <w:highlight w:val="none"/>
          <w:lang w:eastAsia="zh-CN"/>
        </w:rPr>
        <w:t>，</w:t>
      </w:r>
      <w:r>
        <w:rPr>
          <w:rFonts w:hint="eastAsia" w:ascii="宋体" w:hAnsi="宋体" w:cs="宋体"/>
          <w:bCs/>
          <w:spacing w:val="10"/>
          <w:sz w:val="28"/>
          <w:szCs w:val="28"/>
          <w:highlight w:val="none"/>
          <w:lang w:val="en-US" w:eastAsia="zh-CN"/>
        </w:rPr>
        <w:t>满足所有参赛师生使用</w:t>
      </w:r>
      <w:r>
        <w:rPr>
          <w:rFonts w:hint="eastAsia" w:ascii="宋体" w:hAnsi="宋体" w:cs="宋体"/>
          <w:bCs/>
          <w:spacing w:val="10"/>
          <w:sz w:val="28"/>
          <w:szCs w:val="28"/>
          <w:highlight w:val="none"/>
        </w:rPr>
        <w:t>。</w:t>
      </w:r>
      <w:bookmarkEnd w:id="73"/>
      <w:bookmarkEnd w:id="74"/>
    </w:p>
    <w:p>
      <w:pPr>
        <w:pStyle w:val="2"/>
        <w:ind w:firstLine="300"/>
        <w:rPr>
          <w:rFonts w:ascii="宋体" w:hAnsi="宋体" w:cs="宋体"/>
          <w:bCs/>
          <w:spacing w:val="10"/>
          <w:sz w:val="28"/>
          <w:szCs w:val="28"/>
        </w:rPr>
      </w:pPr>
      <w:r>
        <w:rPr>
          <w:rFonts w:hint="eastAsia" w:ascii="宋体" w:hAnsi="宋体" w:cs="宋体"/>
          <w:bCs/>
          <w:spacing w:val="10"/>
          <w:sz w:val="28"/>
          <w:szCs w:val="28"/>
        </w:rPr>
        <w:t>技术平台要求</w:t>
      </w:r>
    </w:p>
    <w:tbl>
      <w:tblPr>
        <w:tblStyle w:val="23"/>
        <w:tblW w:w="0" w:type="auto"/>
        <w:tblInd w:w="93" w:type="dxa"/>
        <w:tblLayout w:type="autofit"/>
        <w:tblCellMar>
          <w:top w:w="0" w:type="dxa"/>
          <w:left w:w="108" w:type="dxa"/>
          <w:bottom w:w="0" w:type="dxa"/>
          <w:right w:w="108" w:type="dxa"/>
        </w:tblCellMar>
      </w:tblPr>
      <w:tblGrid>
        <w:gridCol w:w="822"/>
        <w:gridCol w:w="7607"/>
      </w:tblGrid>
      <w:tr>
        <w:tblPrEx>
          <w:tblCellMar>
            <w:top w:w="0" w:type="dxa"/>
            <w:left w:w="108" w:type="dxa"/>
            <w:bottom w:w="0" w:type="dxa"/>
            <w:right w:w="108" w:type="dxa"/>
          </w:tblCellMar>
        </w:tblPrEx>
        <w:trPr>
          <w:trHeight w:val="285" w:hRule="atLeast"/>
        </w:trPr>
        <w:tc>
          <w:tcPr>
            <w:tcW w:w="0" w:type="auto"/>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rPr>
              <w:t>名称</w:t>
            </w:r>
          </w:p>
        </w:tc>
        <w:tc>
          <w:tcPr>
            <w:tcW w:w="0" w:type="auto"/>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rPr>
              <w:t>功能</w:t>
            </w:r>
          </w:p>
        </w:tc>
      </w:tr>
      <w:tr>
        <w:tblPrEx>
          <w:tblCellMar>
            <w:top w:w="0" w:type="dxa"/>
            <w:left w:w="108" w:type="dxa"/>
            <w:bottom w:w="0" w:type="dxa"/>
            <w:right w:w="108" w:type="dxa"/>
          </w:tblCellMar>
        </w:tblPrEx>
        <w:trPr>
          <w:trHeight w:val="7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2"/>
                <w:szCs w:val="22"/>
              </w:rPr>
            </w:pPr>
            <w:r>
              <w:rPr>
                <w:rFonts w:hint="eastAsia" w:ascii="宋体" w:hAnsi="宋体" w:cs="宋体"/>
                <w:bCs/>
                <w:color w:val="000000"/>
                <w:kern w:val="0"/>
                <w:sz w:val="22"/>
                <w:szCs w:val="22"/>
              </w:rPr>
              <w:t>交互式动漫制作平台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一、</w:t>
            </w:r>
            <w:r>
              <w:rPr>
                <w:rFonts w:hint="eastAsia" w:ascii="宋体" w:hAnsi="宋体" w:cs="宋体"/>
                <w:bCs/>
                <w:color w:val="000000"/>
                <w:sz w:val="22"/>
                <w:szCs w:val="22"/>
                <w:lang w:val="en-US" w:eastAsia="zh-CN"/>
              </w:rPr>
              <w:t>功能</w:t>
            </w:r>
            <w:r>
              <w:rPr>
                <w:rFonts w:hint="eastAsia" w:ascii="宋体" w:hAnsi="宋体" w:cs="宋体"/>
                <w:bCs/>
                <w:color w:val="000000"/>
                <w:sz w:val="22"/>
                <w:szCs w:val="22"/>
              </w:rPr>
              <w:t>概述</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提供创新性交互式动画课件制作工具，对于教师可应用于建设多元化、互动式动画数字资源，教师通过平台发布可实施慕课、翻转课堂、微课程、混合教学等创新型教学模式的应用；对于学生可在创客、信息技术或综合实践课程中，可结合不同主题的学习需求进行动画资源创作与分享，在制作中内化知识，同步提升创意、文艺、技艺等全方位能力。应用工具内置丰富的角色、场景、道具等素材，并且支持智能生成流畅语音，同时还需搭载了常见动画模板、图像文本、旁白音效、互动试题模块。用户只需简单的选择场景、人物、道具以及编辑操作即可快速制作情境动画，快速制作个性化动画及课件。</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二、应用架构</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1)系统基本功能以B/S架构实现，J2EE开发架构，支持当前国内外知名品牌的主流配置服务器，服务端可在LINUX或 windows操作系统上正常运行，系统支持采用MY SQL数据库。</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2)采用Restful的方式向平台提供API接口，能与平台进行无缝对接开发，实现用户单一账号无缝登录应用。</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3)基于B/S架构，支持基于校园网、互联网的应用。用户在IE等通用浏览器上即可登陆调用，可在线制作交互式动画资源，作品资源可同步存储到平台云盘。</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4)交互式动画作品在播放时可实现即时交互。支持作品在平台在线播放，支持将作品导出下载，可离线在PC上播放。作品可在线分享，支持在安卓或IOS等系统的手机、平板等移动终端浏览器播放及交互。</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三、功能参数</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1)工具调用及作品运用</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创建功能。支持多样化的创意资源创建：（a）支持空白创建；（b）剧本导入功能，只需编写WORD文本内容，在文本中定义情景课件的角色、场景、对话内容、试题内容。一键导入即可合成互动微课；（c）支持PPT导入，与PPT兼容，可实现PPT一键导入转化图文和背景，插入语音旁白，生成资源；（d）支持模板导入，可通过创意模板调用进行加工编辑。</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 xml:space="preserve">（2）导出功能。支持多类型格式的作品导出，支持自定义水印：（a）支持离线播放文件导出，可无网络本地播放，支持交互；（b）支持WORD文档格式导出，导出剧本中包含对话及试题等文字内容；（c）支持漫画（PNG格式）导出，可导出多张场景图片或一张合成的多格创意漫画；（d）支持播放代码导出，可植入第三方平台浏览器播放，并进行交互。 </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2)支持快速创意创作</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（1）场景设置:工具支持4:3、16:9以及9:16比例的资源内容制作，可设置40种以上切换场景时的动画效果。可支持设置点击播放或连续播放场景动画内容，支持各类演示文件、微课视频、动画影片、漫画图片的创作；</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2）资源模块:应用工具内提供现代、古代、实景等多种风格的校园、家居、办公等常用情境场景，也提供平面图文背景资源；提供适应各学科及课外创意的丰富的生活、教学、风景、动物等道具配图素材；提供安静、轻快、震撼等各类风格的背景音乐及音效资源素材；支持自定义上传用户本地背景图、道具图、音视频资源进行应用；</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 xml:space="preserve">（3）角色应用：工具搭配多样风格角色人物、动物资源，支持通过本地照片自定义人物角色头像，支持为自定义角色设定服装；支持用户快速调用插入角色，进行角色走路、姿势、说话等动作设置； </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 xml:space="preserve">（4）智能配音：提供智能语音引擎和在线配音功能，可按需匹配中英文等多种语音及地方方言，用户输入文字即可智能合成配音； </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（5）用户配音：支持用户在线进行角色拼音及旁白配音，可直接录制或上传MP3； 也可支持微信配音，微信扫描二维码进行录音及配音导入；</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6）动画设置：可设置实现文字、图片、道具等元素的出现、消失、强调、移动等各样式动作；支持设置元素的移动轨迹；可设置多个动作的同步执行，延迟开始或结束，可通过右键设置或鼠标拖拽实现动作顺序调整。</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7）自定义动作：支持用户自定义创作角色动作，可选择在原有动作上修改生成，也可以新建自定义动作，通过关键帧设置，编辑关键帧上角色的动作状态，快速生成角色的自定义动作效果，同时支持角色嘴、手等部位状态的调整。</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（8）道具跟随：支持用户将道具与角色组合，实现道具跟随角色走路、跑步、抬手等动作，通过道具跟随效果，将平台道具、自定义道具与角色组合，可自行调整道具组合的部位、大小。</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（9）场景切换：内置多种生动的场景切换效果，支持用户给每个场景设置切换效果，如爱心、圆形涂抹、玻璃刷等。</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3)支持元素插入及编辑功能</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（1）插入功能：支持在影片资源制作中插入图文素材（如文字、图片、形状、公式、拼音、音标）；音频视频素材（如环境音效、动作音效、动物音效、背景音乐、旁白）等内容，并进行相应的编辑；</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2）编辑功能：工具支持对插入的图片（JPG/PNG格式）进行剪切、缩放、翻转、美化等图片处理功能；支持对插入音频（MP3/WAV格式）、视频（MP4格式）直接进行剪辑合成；支持相应插入的教学素材内容的图层顺序的快速调整更新。</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4)支持交互及动画效果设置</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试题游戏设置：可对影片资源设置互动试题（单选题、多选题、判断题、填空题、排序题、连线题）及游戏试题等交互功能，可设置正确答案及解析，可设置答题错误后的跳转场景。课件发布后支持电脑端、手机端播放查看，播放时可进行互动；</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（2）触发效果设置：支持对场景内的角色及道具元素设置触发效果，用户点击后可设置响应元素的动画，支持制作多元化交互式课件；</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（3）动画特效设置：支持对影片动画效果的设置，可一键选择下雨、下雪、光晕、星光等动画特效；</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（4）镜头效果设置：支持场景中选定区域的镜头拉近放大或拉远缩小，实现强调及凸显画面内容的效果。</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四、素材资源参数</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1)场景背景：应用系统配套卡通、实景、平面等多风格场景背景素材不少于3400个。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2)道具配图：应用系统配套多类配图道具素材，含人物、动物、风景、交通、德育相关资源数量15400以上。</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3)场景模板：可快速调用为影片添加片头片尾，图文场景，动态过度等场景，可调用模板数量不少于1400个。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4)角色资源：应用系统配套骨骼动画角色形象，含现代人物、古代人物、动物等多元风格角色不少于400个；人物角色通过动作模块可快速设定走路、说话、写字、笑、同意等多种动作姿势不少于1000个。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5)语音引擎：角色对话、插入旁白、提示内容可按需求匹配中英文多种语音，用户文字输入后即可智能配音，提供可调用语音引擎不少于85个。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6)音效资源：系统配套校园、效果、环境等音效资源供用户应用，音效资源不少于210个。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7)背景音乐：系统配套安静、动感、轻快等多类背景音乐供选择，背景音乐不少于160个。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8)提示背景： 提供多种样式的提示背景板用于强调及知识点阐述应用，数量不少于70个。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9)特效效果：提供下雨、下雪、落叶、星光、光晕等特效效果设置不少于14个。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10)旁白精灵：可根据创意作品需求调用旁白精灵出场讲解，精灵个数不少于6个。</w:t>
            </w:r>
          </w:p>
          <w:p>
            <w:pPr>
              <w:widowControl/>
              <w:jc w:val="left"/>
              <w:textAlignment w:val="center"/>
              <w:rPr>
                <w:rFonts w:hint="eastAsia" w:ascii="宋体" w:hAnsi="宋体" w:cs="宋体"/>
                <w:bCs/>
                <w:color w:val="000000"/>
                <w:sz w:val="22"/>
                <w:szCs w:val="22"/>
              </w:rPr>
            </w:pPr>
            <w:r>
              <w:rPr>
                <w:rFonts w:hint="eastAsia" w:ascii="宋体" w:hAnsi="宋体" w:cs="宋体"/>
                <w:bCs/>
                <w:color w:val="000000"/>
                <w:sz w:val="22"/>
                <w:szCs w:val="22"/>
              </w:rPr>
              <w:t>11)场景切换：提供多种场景切换特效，切换效果数量不少于40个。</w:t>
            </w:r>
          </w:p>
          <w:p>
            <w:pPr>
              <w:widowControl/>
              <w:jc w:val="left"/>
              <w:textAlignment w:val="center"/>
              <w:rPr>
                <w:rFonts w:ascii="宋体" w:hAnsi="宋体" w:cs="宋体"/>
                <w:bCs/>
                <w:color w:val="000000"/>
                <w:sz w:val="22"/>
                <w:szCs w:val="22"/>
              </w:rPr>
            </w:pPr>
            <w:r>
              <w:rPr>
                <w:rFonts w:hint="eastAsia" w:ascii="宋体" w:hAnsi="宋体" w:cs="宋体"/>
                <w:bCs/>
                <w:color w:val="000000"/>
                <w:sz w:val="22"/>
                <w:szCs w:val="22"/>
              </w:rPr>
              <w:t>资源更新：支持道具图、场景、角色人物等素材的持续更新，每年更新至少2000个资源。</w:t>
            </w:r>
          </w:p>
        </w:tc>
      </w:tr>
    </w:tbl>
    <w:p>
      <w:pPr>
        <w:pStyle w:val="4"/>
        <w:ind w:firstLine="0" w:firstLineChars="0"/>
        <w:rPr>
          <w:bCs/>
        </w:rPr>
      </w:pPr>
    </w:p>
    <w:p>
      <w:pPr>
        <w:spacing w:before="120" w:beforeLines="50" w:after="120" w:afterLines="50" w:line="360" w:lineRule="auto"/>
        <w:outlineLvl w:val="0"/>
        <w:rPr>
          <w:bCs/>
          <w:sz w:val="24"/>
          <w:highlight w:val="yellow"/>
        </w:rPr>
      </w:pPr>
      <w:bookmarkStart w:id="75" w:name="_Toc2436"/>
      <w:bookmarkStart w:id="76" w:name="_Toc6336"/>
      <w:r>
        <w:rPr>
          <w:rFonts w:hint="eastAsia" w:ascii="宋体" w:hAnsi="宋体" w:cs="宋体"/>
          <w:bCs/>
          <w:spacing w:val="10"/>
          <w:sz w:val="28"/>
          <w:szCs w:val="28"/>
        </w:rPr>
        <w:t>服务要求：合作企业需配备至少5名企业工程师负责竞赛现场设备设施的维护和技术支持，赛前7天人员到岗到位</w:t>
      </w:r>
      <w:r>
        <w:rPr>
          <w:rFonts w:hint="eastAsia" w:ascii="宋体" w:hAnsi="宋体" w:cs="宋体"/>
          <w:bCs/>
          <w:spacing w:val="10"/>
          <w:sz w:val="28"/>
          <w:szCs w:val="28"/>
          <w:highlight w:val="none"/>
        </w:rPr>
        <w:t>（为证明综合服务能力企业工程师应具备下列至少三个方向的技能证书，包括网络技术、软件开发、智能计算、项目管理等。）</w:t>
      </w:r>
      <w:bookmarkEnd w:id="75"/>
      <w:bookmarkEnd w:id="76"/>
    </w:p>
    <w:p>
      <w:pPr>
        <w:pStyle w:val="5"/>
        <w:rPr>
          <w:rFonts w:ascii="宋体" w:hAnsi="宋体" w:cs="宋体"/>
          <w:sz w:val="31"/>
          <w:szCs w:val="31"/>
        </w:rPr>
      </w:pPr>
      <w:bookmarkStart w:id="77" w:name="_Toc29849"/>
      <w:bookmarkStart w:id="78" w:name="_Toc7532"/>
      <w:r>
        <w:rPr>
          <w:rFonts w:hint="eastAsia" w:ascii="宋体" w:hAnsi="宋体" w:cs="宋体"/>
          <w:spacing w:val="10"/>
          <w:kern w:val="2"/>
          <w:sz w:val="36"/>
          <w:szCs w:val="36"/>
        </w:rPr>
        <w:t>第五章 评选标准</w:t>
      </w:r>
      <w:bookmarkEnd w:id="77"/>
      <w:bookmarkEnd w:id="78"/>
      <w:r>
        <w:rPr>
          <w:rFonts w:hint="eastAsia" w:ascii="宋体" w:hAnsi="宋体" w:cs="宋体"/>
          <w:spacing w:val="18"/>
          <w:sz w:val="31"/>
          <w:szCs w:val="31"/>
        </w:rPr>
        <w:t xml:space="preserve"> </w:t>
      </w:r>
    </w:p>
    <w:tbl>
      <w:tblPr>
        <w:tblStyle w:val="23"/>
        <w:tblW w:w="0" w:type="auto"/>
        <w:tblInd w:w="93" w:type="dxa"/>
        <w:tblLayout w:type="fixed"/>
        <w:tblCellMar>
          <w:top w:w="0" w:type="dxa"/>
          <w:left w:w="108" w:type="dxa"/>
          <w:bottom w:w="0" w:type="dxa"/>
          <w:right w:w="108" w:type="dxa"/>
        </w:tblCellMar>
      </w:tblPr>
      <w:tblGrid>
        <w:gridCol w:w="2171"/>
        <w:gridCol w:w="769"/>
        <w:gridCol w:w="4793"/>
        <w:gridCol w:w="696"/>
      </w:tblGrid>
      <w:tr>
        <w:tblPrEx>
          <w:tblCellMar>
            <w:top w:w="0" w:type="dxa"/>
            <w:left w:w="108" w:type="dxa"/>
            <w:bottom w:w="0" w:type="dxa"/>
            <w:right w:w="108" w:type="dxa"/>
          </w:tblCellMar>
        </w:tblPrEx>
        <w:trPr>
          <w:trHeight w:val="285" w:hRule="atLeast"/>
        </w:trPr>
        <w:tc>
          <w:tcPr>
            <w:tcW w:w="2171"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pStyle w:val="71"/>
              <w:jc w:val="center"/>
              <w:rPr>
                <w:rFonts w:hint="default"/>
                <w:bCs/>
              </w:rPr>
            </w:pPr>
            <w:r>
              <w:rPr>
                <w:bCs/>
              </w:rPr>
              <w:t>评价项目</w:t>
            </w:r>
          </w:p>
        </w:tc>
        <w:tc>
          <w:tcPr>
            <w:tcW w:w="76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分值</w:t>
            </w:r>
          </w:p>
        </w:tc>
        <w:tc>
          <w:tcPr>
            <w:tcW w:w="479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评分标准</w:t>
            </w:r>
          </w:p>
        </w:tc>
        <w:tc>
          <w:tcPr>
            <w:tcW w:w="696"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pStyle w:val="71"/>
              <w:jc w:val="center"/>
              <w:rPr>
                <w:rFonts w:hint="default"/>
                <w:bCs/>
              </w:rPr>
            </w:pPr>
            <w:r>
              <w:rPr>
                <w:bCs/>
              </w:rPr>
              <w:t>得分</w:t>
            </w:r>
          </w:p>
        </w:tc>
      </w:tr>
      <w:tr>
        <w:tblPrEx>
          <w:tblCellMar>
            <w:top w:w="0" w:type="dxa"/>
            <w:left w:w="108" w:type="dxa"/>
            <w:bottom w:w="0" w:type="dxa"/>
            <w:right w:w="108" w:type="dxa"/>
          </w:tblCellMar>
        </w:tblPrEx>
        <w:trPr>
          <w:trHeight w:val="810" w:hRule="atLeast"/>
        </w:trPr>
        <w:tc>
          <w:tcPr>
            <w:tcW w:w="217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r>
              <w:rPr>
                <w:bCs/>
              </w:rPr>
              <w:t>一、企业基本情况</w:t>
            </w:r>
          </w:p>
          <w:p>
            <w:pPr>
              <w:pStyle w:val="71"/>
              <w:rPr>
                <w:rFonts w:hint="default"/>
                <w:bCs/>
              </w:rPr>
            </w:pPr>
            <w:r>
              <w:rPr>
                <w:bCs/>
              </w:rPr>
              <w:t>主要从企业独立法人资格、企业资信、经营情况、市场地位（市场份额）及社会声誉等方面评价。</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20</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 xml:space="preserve">1.企业资信：企业近三年获得行业最高级资信证书得 </w:t>
            </w:r>
            <w:r>
              <w:rPr>
                <w:rFonts w:hint="eastAsia"/>
                <w:bCs/>
                <w:lang w:val="en-US" w:eastAsia="zh-CN"/>
              </w:rPr>
              <w:t>7</w:t>
            </w:r>
            <w:r>
              <w:rPr>
                <w:bCs/>
              </w:rPr>
              <w:t xml:space="preserve"> 分，次高级资信证书得 3分，达不到不得分。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135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shd w:val="clear"/>
              </w:rPr>
              <w:t xml:space="preserve">2.国家产教融合型企业，教育部公布的现代学徒制试点企业，教育部公布的 1+X证书制度试点企业、山西现代学徒制试点合作企业；山西省产教融合型企业入库培育企业。满足一项即可得 </w:t>
            </w:r>
            <w:r>
              <w:rPr>
                <w:rFonts w:hint="eastAsia"/>
                <w:bCs/>
                <w:shd w:val="clear"/>
                <w:lang w:val="en-US" w:eastAsia="zh-CN"/>
              </w:rPr>
              <w:t>5</w:t>
            </w:r>
            <w:r>
              <w:rPr>
                <w:bCs/>
                <w:shd w:val="clear"/>
              </w:rPr>
              <w:t xml:space="preserve"> 分，都不满足得 0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81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3.社会声誉：企业在近三年中获得省级荣誉得 5 分，市级荣誉得 3 分。（企业自主举证，专家评议）</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54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4.是否取得质量管理体系认证：取得，得 3 分；未取得，不得分。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1080" w:hRule="atLeast"/>
        </w:trPr>
        <w:tc>
          <w:tcPr>
            <w:tcW w:w="217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r>
              <w:rPr>
                <w:bCs/>
              </w:rPr>
              <w:t>二、大赛合作经历</w:t>
            </w:r>
          </w:p>
          <w:p>
            <w:pPr>
              <w:pStyle w:val="71"/>
              <w:rPr>
                <w:rFonts w:hint="default"/>
                <w:bCs/>
              </w:rPr>
            </w:pPr>
            <w:r>
              <w:rPr>
                <w:bCs/>
              </w:rPr>
              <w:t>主要从企业参与职业院校技能竞赛（省赛、市赛或行业赛等）的合作经历方面评价。</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5</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有参与省赛合作的经历，设备技术稳定且评价良好，得5 分；有参与市赛和行业赛经历，设备技术稳定且评价良好，得 3 分；其他合作经历等，得 1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810" w:hRule="atLeast"/>
        </w:trPr>
        <w:tc>
          <w:tcPr>
            <w:tcW w:w="217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r>
              <w:rPr>
                <w:bCs/>
              </w:rPr>
              <w:t>三、校企合作情况</w:t>
            </w:r>
          </w:p>
          <w:p>
            <w:pPr>
              <w:pStyle w:val="71"/>
              <w:rPr>
                <w:rFonts w:hint="default"/>
                <w:bCs/>
              </w:rPr>
            </w:pPr>
            <w:r>
              <w:rPr>
                <w:bCs/>
              </w:rPr>
              <w:t>主要从企业的校企合作基础是否扎实，合作广泛性、深入性等方面评价。合作内容包含专业课程建设、教学条件建设等方面。</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10</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1.合作院校：覆盖全省举办相关专业院校三分之二的得 4 分、覆盖三分之一及以上得 3 分、覆盖三分之一以下得 2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81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2.合作内容：专业建设、课程建设、教学条件建设等内容丰富得 3 分，单一得 1分，没有得 0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54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3.合作成效：获得国家或省级政府部门表彰、奖励或应用推广等得 3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1080" w:hRule="atLeast"/>
        </w:trPr>
        <w:tc>
          <w:tcPr>
            <w:tcW w:w="217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r>
              <w:rPr>
                <w:bCs/>
              </w:rPr>
              <w:t>四、技术平台质量与赛项匹配度</w:t>
            </w:r>
          </w:p>
          <w:p>
            <w:pPr>
              <w:pStyle w:val="71"/>
              <w:rPr>
                <w:rFonts w:hint="default"/>
                <w:bCs/>
              </w:rPr>
            </w:pPr>
            <w:r>
              <w:rPr>
                <w:bCs/>
              </w:rPr>
              <w:t>主要从企业提供的技术平台与设备的技术先进性、质量稳定性，技术平台与赛项匹配情况（含组合平台中单项设备或软件的匹配情况），技术平台与设备有无自主知识产权等方面评价。</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15</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1.技术平台的匹配度：在评判所提供赛项技术平台先进性和稳定性的基础上，重点评判技术平台与赛项匹配度。匹配度高，得 3-5 分；基本匹配，得 1-2 分；不匹配则该处写“否决”，不填具体分数。</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108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2.提供的技术平台的先进性与稳定性：在明确提供赛项技术平台（硬或软，全部或部分）的基础上，评判该技术平台与设备的先进性、稳定性，既先进又稳定得 5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627"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3.技术平台与设备的自主权：为赛项提供的技术平台与设备知识产权清晰，具有自主知识产权或依法享有知识产权的独占权与授予权得 5 分，没有的不得分。如专家认为存在被诉侵权或专家认为有风险或纠纷情况的则该处写“否决”，不填具体分数。</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1080" w:hRule="atLeast"/>
        </w:trPr>
        <w:tc>
          <w:tcPr>
            <w:tcW w:w="217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r>
              <w:rPr>
                <w:bCs/>
              </w:rPr>
              <w:t>五、技术平台普及程度</w:t>
            </w:r>
          </w:p>
          <w:p>
            <w:pPr>
              <w:pStyle w:val="71"/>
              <w:rPr>
                <w:rFonts w:hint="default"/>
                <w:bCs/>
              </w:rPr>
            </w:pPr>
            <w:r>
              <w:rPr>
                <w:bCs/>
              </w:rPr>
              <w:t>主要从企业提供的技术平台与设备在职业院校（或行业）中普及度、使用情况及供货保障情况评价。</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10</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 xml:space="preserve">1.技术平台与设备的普及度：覆盖全省开设本赛项相关专业三分之二以上学校或市场占有率广泛，得 5分；覆盖三分之一或市场占有率中等，得3分；市场占有率较低的，得1分。 </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81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2.技术平台与设备的使用情况：在使用该技术平台与设备的院校中，得到院校和师生的一致好评，得 5 分；评价一般得 2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1350" w:hRule="atLeast"/>
        </w:trPr>
        <w:tc>
          <w:tcPr>
            <w:tcW w:w="217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r>
              <w:rPr>
                <w:bCs/>
              </w:rPr>
              <w:t>六、技术平台价格</w:t>
            </w:r>
          </w:p>
          <w:p>
            <w:pPr>
              <w:pStyle w:val="71"/>
              <w:rPr>
                <w:rFonts w:hint="default"/>
                <w:bCs/>
              </w:rPr>
            </w:pPr>
            <w:r>
              <w:rPr>
                <w:bCs/>
              </w:rPr>
              <w:t>主要从企业提供的技术平台与设备的价格合理性评价。</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10</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1.技术平台与设备的价格与市场同类技术平台与设备价格比较：有比较且合理得5 分，基本合理得 3 分，价格不合理的建议否决。如专家认为技术平台价格不合理则该处写“否决”，不填具体分数。</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108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2.技术平台与设备最终的承诺价格：合理得 5 分，基本合理得 3 分，价格不合理的建议否决。如专家认为技术平台最终的承诺价格不合理则该处写“否决”，不填具体分数。</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540" w:hRule="atLeast"/>
        </w:trPr>
        <w:tc>
          <w:tcPr>
            <w:tcW w:w="217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r>
              <w:rPr>
                <w:bCs/>
              </w:rPr>
              <w:t>七、对大赛支持力度</w:t>
            </w:r>
          </w:p>
          <w:p>
            <w:pPr>
              <w:pStyle w:val="71"/>
              <w:rPr>
                <w:rFonts w:hint="default"/>
                <w:bCs/>
              </w:rPr>
            </w:pPr>
            <w:r>
              <w:rPr>
                <w:bCs/>
              </w:rPr>
              <w:t>主要从企业对大赛提供的经费、人员、技术、产品及服务等方面综合评价。</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r>
              <w:rPr>
                <w:bCs/>
              </w:rPr>
              <w:t>20</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 xml:space="preserve">1.经费捐赠：根据实际捐赠费用与赛项运营全部费用比值，按1~10分赋分，往年承诺未兑现的取消 当年合作企业参评资格，且未来三年禁止参与大赛。 </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81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 xml:space="preserve">2.提供设备支持：承诺为赛项免费提供设备支持得8分，没有不得分，往年承诺未兑现的取消当年合作企业参评资格，且未来三年禁止参与大赛。 </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810" w:hRule="atLeast"/>
        </w:trPr>
        <w:tc>
          <w:tcPr>
            <w:tcW w:w="217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pStyle w:val="71"/>
              <w:rPr>
                <w:rFonts w:hint="default"/>
                <w:bCs/>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1"/>
              <w:jc w:val="center"/>
              <w:rPr>
                <w:rFonts w:hint="default"/>
                <w:bCs/>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1"/>
              <w:rPr>
                <w:rFonts w:hint="default"/>
                <w:bCs/>
              </w:rPr>
            </w:pPr>
            <w:r>
              <w:rPr>
                <w:bCs/>
              </w:rPr>
              <w:t>3.提供其他服务：承诺为赛项免费提供其他服务得 2 分，没有不得分，往年承诺未兑现的得 0 分。</w:t>
            </w:r>
          </w:p>
        </w:tc>
        <w:tc>
          <w:tcPr>
            <w:tcW w:w="6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pStyle w:val="71"/>
              <w:rPr>
                <w:rFonts w:hint="default"/>
                <w:bCs/>
              </w:rPr>
            </w:pPr>
          </w:p>
        </w:tc>
      </w:tr>
      <w:tr>
        <w:tblPrEx>
          <w:tblCellMar>
            <w:top w:w="0" w:type="dxa"/>
            <w:left w:w="108" w:type="dxa"/>
            <w:bottom w:w="0" w:type="dxa"/>
            <w:right w:w="108" w:type="dxa"/>
          </w:tblCellMar>
        </w:tblPrEx>
        <w:trPr>
          <w:trHeight w:val="825" w:hRule="atLeast"/>
        </w:trPr>
        <w:tc>
          <w:tcPr>
            <w:tcW w:w="2171"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pStyle w:val="71"/>
              <w:rPr>
                <w:rFonts w:hint="default"/>
                <w:bCs/>
              </w:rPr>
            </w:pPr>
            <w:r>
              <w:rPr>
                <w:bCs/>
              </w:rPr>
              <w:t>八、企业答辩情况</w:t>
            </w:r>
          </w:p>
        </w:tc>
        <w:tc>
          <w:tcPr>
            <w:tcW w:w="769"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pStyle w:val="71"/>
              <w:jc w:val="center"/>
              <w:rPr>
                <w:rFonts w:hint="default"/>
                <w:bCs/>
              </w:rPr>
            </w:pPr>
            <w:r>
              <w:rPr>
                <w:bCs/>
              </w:rPr>
              <w:t>10</w:t>
            </w:r>
          </w:p>
        </w:tc>
        <w:tc>
          <w:tcPr>
            <w:tcW w:w="4793"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71"/>
              <w:rPr>
                <w:rFonts w:hint="default"/>
                <w:bCs/>
              </w:rPr>
            </w:pPr>
            <w:r>
              <w:rPr>
                <w:bCs/>
              </w:rPr>
              <w:t>原则上专家自主提问二个问题。注意：对上述评分参考标准中企业没有回答清楚的问题进行询问，不属于自主提问。</w:t>
            </w:r>
          </w:p>
        </w:tc>
        <w:tc>
          <w:tcPr>
            <w:tcW w:w="6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pStyle w:val="71"/>
              <w:rPr>
                <w:rFonts w:hint="default"/>
                <w:bCs/>
              </w:rPr>
            </w:pPr>
          </w:p>
        </w:tc>
      </w:tr>
    </w:tbl>
    <w:p>
      <w:pPr>
        <w:rPr>
          <w:rFonts w:ascii="宋体" w:hAnsi="宋体" w:cs="宋体"/>
          <w:bCs/>
        </w:rPr>
      </w:pPr>
    </w:p>
    <w:p>
      <w:pPr>
        <w:spacing w:line="62" w:lineRule="exact"/>
        <w:rPr>
          <w:rFonts w:ascii="宋体" w:hAnsi="宋体" w:cs="宋体"/>
          <w:bCs/>
        </w:rPr>
      </w:pPr>
    </w:p>
    <w:p>
      <w:pPr>
        <w:spacing w:before="176" w:line="225" w:lineRule="auto"/>
        <w:rPr>
          <w:rFonts w:ascii="宋体" w:hAnsi="宋体" w:cs="宋体"/>
          <w:bCs/>
          <w:spacing w:val="3"/>
          <w:sz w:val="31"/>
          <w:szCs w:val="31"/>
        </w:rPr>
        <w:sectPr>
          <w:headerReference r:id="rId5" w:type="default"/>
          <w:footerReference r:id="rId6" w:type="default"/>
          <w:pgSz w:w="11906" w:h="16839"/>
          <w:pgMar w:top="1440" w:right="1800" w:bottom="1440" w:left="1800" w:header="0" w:footer="1200" w:gutter="0"/>
          <w:cols w:space="720" w:num="1"/>
        </w:sectPr>
      </w:pPr>
      <w:r>
        <w:rPr>
          <w:rFonts w:hint="eastAsia" w:ascii="宋体" w:hAnsi="宋体" w:cs="宋体"/>
          <w:bCs/>
          <w:spacing w:val="6"/>
          <w:sz w:val="31"/>
          <w:szCs w:val="31"/>
        </w:rPr>
        <w:t>注：表中上标注</w:t>
      </w:r>
      <w:r>
        <w:rPr>
          <w:rFonts w:hint="eastAsia" w:ascii="宋体" w:hAnsi="宋体" w:cs="宋体"/>
          <w:bCs/>
          <w:spacing w:val="3"/>
          <w:sz w:val="31"/>
          <w:szCs w:val="31"/>
        </w:rPr>
        <w:t xml:space="preserve"> 1 、2 、3 处如有任何一处超过半数专家建议否决，直接取消该企业的参与资格。</w:t>
      </w:r>
    </w:p>
    <w:p>
      <w:pPr>
        <w:spacing w:before="156" w:beforeLines="50" w:after="156" w:afterLines="50" w:line="360" w:lineRule="auto"/>
        <w:jc w:val="center"/>
        <w:outlineLvl w:val="0"/>
        <w:rPr>
          <w:rFonts w:ascii="宋体" w:hAnsi="宋体" w:cs="宋体"/>
          <w:b/>
          <w:spacing w:val="10"/>
          <w:sz w:val="36"/>
          <w:szCs w:val="36"/>
        </w:rPr>
      </w:pPr>
      <w:bookmarkStart w:id="79" w:name="_Toc32288"/>
      <w:bookmarkStart w:id="80" w:name="_Toc14879"/>
      <w:r>
        <w:rPr>
          <w:rFonts w:hint="eastAsia" w:ascii="宋体" w:hAnsi="宋体" w:cs="宋体"/>
          <w:b/>
          <w:spacing w:val="10"/>
          <w:sz w:val="36"/>
          <w:szCs w:val="36"/>
        </w:rPr>
        <w:t>第六章 签定合作协议</w:t>
      </w:r>
      <w:bookmarkEnd w:id="79"/>
      <w:bookmarkEnd w:id="80"/>
    </w:p>
    <w:p>
      <w:pPr>
        <w:spacing w:line="360" w:lineRule="auto"/>
        <w:ind w:firstLine="600" w:firstLineChars="200"/>
        <w:outlineLvl w:val="0"/>
        <w:rPr>
          <w:rFonts w:ascii="宋体" w:hAnsi="宋体" w:cs="宋体"/>
          <w:bCs/>
          <w:spacing w:val="10"/>
          <w:sz w:val="28"/>
          <w:szCs w:val="28"/>
        </w:rPr>
      </w:pPr>
      <w:bookmarkStart w:id="81" w:name="_Toc4448"/>
      <w:bookmarkStart w:id="82" w:name="_Toc9358"/>
      <w:r>
        <w:rPr>
          <w:rFonts w:hint="eastAsia" w:ascii="宋体" w:hAnsi="宋体" w:cs="宋体"/>
          <w:bCs/>
          <w:spacing w:val="10"/>
          <w:sz w:val="28"/>
          <w:szCs w:val="28"/>
        </w:rPr>
        <w:t>确定合作企业后，双方签定合作协议，协议内容应包括但</w:t>
      </w:r>
      <w:bookmarkEnd w:id="81"/>
      <w:bookmarkEnd w:id="82"/>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pacing w:val="10"/>
          <w:sz w:val="28"/>
          <w:szCs w:val="28"/>
        </w:rPr>
      </w:pPr>
      <w:bookmarkStart w:id="83" w:name="_Toc8605"/>
      <w:bookmarkStart w:id="84" w:name="_Toc2613"/>
      <w:r>
        <w:rPr>
          <w:rFonts w:hint="eastAsia" w:ascii="宋体" w:hAnsi="宋体" w:cs="宋体"/>
          <w:bCs/>
          <w:spacing w:val="10"/>
          <w:sz w:val="28"/>
          <w:szCs w:val="28"/>
        </w:rPr>
        <w:t>不限于下列内容：</w:t>
      </w:r>
      <w:bookmarkEnd w:id="83"/>
      <w:bookmarkEnd w:id="84"/>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pacing w:val="10"/>
          <w:sz w:val="28"/>
          <w:szCs w:val="28"/>
        </w:rPr>
      </w:pPr>
      <w:bookmarkStart w:id="85" w:name="_Toc15244"/>
      <w:bookmarkStart w:id="86" w:name="_Toc755"/>
      <w:r>
        <w:rPr>
          <w:rFonts w:hint="eastAsia" w:ascii="宋体" w:hAnsi="宋体" w:cs="宋体"/>
          <w:bCs/>
          <w:spacing w:val="10"/>
          <w:sz w:val="28"/>
          <w:szCs w:val="28"/>
        </w:rPr>
        <w:t>1.拟合作的赛项或相关赛事活动。</w:t>
      </w:r>
      <w:bookmarkEnd w:id="85"/>
      <w:bookmarkEnd w:id="86"/>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pacing w:val="10"/>
          <w:sz w:val="28"/>
          <w:szCs w:val="28"/>
        </w:rPr>
      </w:pPr>
      <w:bookmarkStart w:id="87" w:name="_Toc10200"/>
      <w:bookmarkStart w:id="88" w:name="_Toc8949"/>
      <w:r>
        <w:rPr>
          <w:rFonts w:hint="eastAsia" w:ascii="宋体" w:hAnsi="宋体" w:cs="宋体"/>
          <w:bCs/>
          <w:spacing w:val="10"/>
          <w:sz w:val="28"/>
          <w:szCs w:val="28"/>
        </w:rPr>
        <w:t>2.向大赛提供的支持内容（货币、实物和服务）及数量。</w:t>
      </w:r>
      <w:bookmarkEnd w:id="87"/>
      <w:bookmarkEnd w:id="88"/>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pacing w:val="10"/>
          <w:sz w:val="28"/>
          <w:szCs w:val="28"/>
        </w:rPr>
      </w:pPr>
      <w:bookmarkStart w:id="89" w:name="_Toc18542"/>
      <w:bookmarkStart w:id="90" w:name="_Toc11351"/>
      <w:r>
        <w:rPr>
          <w:rFonts w:hint="eastAsia" w:ascii="宋体" w:hAnsi="宋体" w:cs="宋体"/>
          <w:bCs/>
          <w:spacing w:val="10"/>
          <w:sz w:val="28"/>
          <w:szCs w:val="28"/>
        </w:rPr>
        <w:t>3.提供竞赛实物一览表（设备、技术平台、耗材等）、技术文件、用户说明书。</w:t>
      </w:r>
      <w:bookmarkEnd w:id="89"/>
      <w:bookmarkEnd w:id="90"/>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pacing w:val="10"/>
          <w:sz w:val="28"/>
          <w:szCs w:val="28"/>
        </w:rPr>
      </w:pPr>
      <w:bookmarkStart w:id="91" w:name="_Toc7078"/>
      <w:bookmarkStart w:id="92" w:name="_Toc6904"/>
      <w:r>
        <w:rPr>
          <w:rFonts w:hint="eastAsia" w:ascii="宋体" w:hAnsi="宋体" w:cs="宋体"/>
          <w:bCs/>
          <w:spacing w:val="10"/>
          <w:sz w:val="28"/>
          <w:szCs w:val="28"/>
        </w:rPr>
        <w:t>4.配合大赛筹备进程开展相关工作的时间安排。</w:t>
      </w:r>
      <w:bookmarkEnd w:id="91"/>
      <w:bookmarkEnd w:id="92"/>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pacing w:val="10"/>
          <w:sz w:val="28"/>
          <w:szCs w:val="28"/>
        </w:rPr>
      </w:pPr>
      <w:bookmarkStart w:id="93" w:name="_Toc8232"/>
      <w:bookmarkStart w:id="94" w:name="_Toc3206"/>
      <w:r>
        <w:rPr>
          <w:rFonts w:hint="eastAsia" w:ascii="宋体" w:hAnsi="宋体" w:cs="宋体"/>
          <w:bCs/>
          <w:spacing w:val="10"/>
          <w:sz w:val="28"/>
          <w:szCs w:val="28"/>
        </w:rPr>
        <w:t>5.面向参赛选手、指导教师免费开展赛前培训。</w:t>
      </w:r>
      <w:bookmarkEnd w:id="93"/>
      <w:bookmarkEnd w:id="94"/>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pacing w:val="10"/>
          <w:sz w:val="28"/>
          <w:szCs w:val="28"/>
        </w:rPr>
      </w:pPr>
      <w:bookmarkStart w:id="95" w:name="_Toc2333"/>
      <w:bookmarkStart w:id="96" w:name="_Toc7663"/>
      <w:r>
        <w:rPr>
          <w:rFonts w:hint="eastAsia" w:ascii="宋体" w:hAnsi="宋体" w:cs="宋体"/>
          <w:bCs/>
          <w:spacing w:val="10"/>
          <w:sz w:val="28"/>
          <w:szCs w:val="28"/>
        </w:rPr>
        <w:t>6.承诺向参赛院校提供竞赛设备的优惠价格（不得高于政府采购价格）。</w:t>
      </w:r>
      <w:bookmarkEnd w:id="95"/>
      <w:bookmarkEnd w:id="96"/>
      <w:r>
        <w:rPr>
          <w:rFonts w:hint="eastAsia" w:ascii="宋体" w:hAnsi="宋体" w:cs="宋体"/>
          <w:bCs/>
          <w:spacing w:val="10"/>
          <w:sz w:val="28"/>
          <w:szCs w:val="28"/>
        </w:rPr>
        <w:t xml:space="preserve"> </w:t>
      </w:r>
    </w:p>
    <w:p>
      <w:pPr>
        <w:spacing w:line="360" w:lineRule="auto"/>
        <w:ind w:firstLine="600" w:firstLineChars="200"/>
        <w:outlineLvl w:val="0"/>
        <w:rPr>
          <w:rFonts w:ascii="宋体" w:hAnsi="宋体" w:cs="宋体"/>
          <w:bCs/>
          <w:sz w:val="28"/>
          <w:szCs w:val="28"/>
        </w:rPr>
        <w:sectPr>
          <w:pgSz w:w="11906" w:h="16838"/>
          <w:pgMar w:top="1417" w:right="1418" w:bottom="1417" w:left="1418" w:header="851" w:footer="992" w:gutter="0"/>
          <w:cols w:space="720" w:num="1"/>
          <w:docGrid w:type="lines" w:linePitch="312" w:charSpace="0"/>
        </w:sectPr>
      </w:pPr>
      <w:bookmarkStart w:id="97" w:name="_Toc22500"/>
      <w:bookmarkStart w:id="98" w:name="_Toc7244"/>
      <w:r>
        <w:rPr>
          <w:rFonts w:hint="eastAsia" w:ascii="宋体" w:hAnsi="宋体" w:cs="宋体"/>
          <w:bCs/>
          <w:spacing w:val="10"/>
          <w:sz w:val="28"/>
          <w:szCs w:val="28"/>
        </w:rPr>
        <w:t xml:space="preserve">7.其他合作内容。 </w:t>
      </w:r>
      <w:bookmarkEnd w:id="97"/>
      <w:bookmarkEnd w:id="98"/>
    </w:p>
    <w:bookmarkEnd w:id="68"/>
    <w:bookmarkEnd w:id="69"/>
    <w:bookmarkEnd w:id="70"/>
    <w:p>
      <w:pPr>
        <w:spacing w:before="156" w:beforeLines="50" w:after="156" w:afterLines="50" w:line="360" w:lineRule="auto"/>
        <w:jc w:val="center"/>
        <w:outlineLvl w:val="0"/>
        <w:rPr>
          <w:rFonts w:ascii="宋体" w:hAnsi="宋体" w:cs="宋体"/>
          <w:b/>
          <w:spacing w:val="10"/>
          <w:sz w:val="36"/>
          <w:szCs w:val="36"/>
        </w:rPr>
      </w:pPr>
      <w:bookmarkStart w:id="99" w:name="_Toc55670720"/>
      <w:bookmarkEnd w:id="99"/>
      <w:bookmarkStart w:id="100" w:name="_Toc55671674"/>
      <w:bookmarkStart w:id="101" w:name="_Toc3487"/>
      <w:bookmarkStart w:id="102" w:name="_Toc55676418"/>
      <w:bookmarkStart w:id="103" w:name="_Toc11611"/>
      <w:bookmarkStart w:id="104" w:name="_Toc13577"/>
      <w:bookmarkStart w:id="105" w:name="_Toc31821"/>
      <w:r>
        <w:rPr>
          <w:rFonts w:hint="eastAsia" w:ascii="宋体" w:hAnsi="宋体" w:cs="宋体"/>
          <w:b/>
          <w:spacing w:val="10"/>
          <w:sz w:val="36"/>
          <w:szCs w:val="36"/>
        </w:rPr>
        <w:t>第七章</w:t>
      </w:r>
      <w:bookmarkEnd w:id="100"/>
      <w:r>
        <w:rPr>
          <w:rFonts w:hint="eastAsia" w:ascii="宋体" w:hAnsi="宋体" w:cs="宋体"/>
          <w:b/>
          <w:spacing w:val="10"/>
          <w:sz w:val="36"/>
          <w:szCs w:val="36"/>
        </w:rPr>
        <w:t xml:space="preserve"> </w:t>
      </w:r>
      <w:r>
        <w:rPr>
          <w:rFonts w:hint="eastAsia" w:ascii="宋体" w:hAnsi="宋体" w:cs="宋体"/>
          <w:b/>
          <w:spacing w:val="10"/>
          <w:sz w:val="36"/>
          <w:szCs w:val="36"/>
          <w:lang w:val="en-US" w:eastAsia="zh-CN"/>
        </w:rPr>
        <w:t>意向书</w:t>
      </w:r>
      <w:r>
        <w:rPr>
          <w:rFonts w:hint="eastAsia" w:ascii="宋体" w:hAnsi="宋体" w:cs="宋体"/>
          <w:b/>
          <w:spacing w:val="10"/>
          <w:sz w:val="36"/>
          <w:szCs w:val="36"/>
        </w:rPr>
        <w:t>封面格式</w:t>
      </w:r>
      <w:bookmarkEnd w:id="101"/>
      <w:bookmarkEnd w:id="102"/>
      <w:bookmarkEnd w:id="103"/>
      <w:bookmarkEnd w:id="104"/>
      <w:bookmarkEnd w:id="105"/>
    </w:p>
    <w:p>
      <w:pPr>
        <w:rPr>
          <w:rFonts w:ascii="宋体" w:hAnsi="宋体" w:cs="宋体"/>
          <w:bCs/>
          <w:spacing w:val="60"/>
          <w:sz w:val="28"/>
          <w:szCs w:val="28"/>
        </w:rPr>
      </w:pPr>
      <w:bookmarkStart w:id="106" w:name="_Toc55671675"/>
      <w:bookmarkStart w:id="107" w:name="_Toc55676419"/>
      <w:r>
        <w:rPr>
          <w:rFonts w:hint="eastAsia" w:ascii="宋体" w:hAnsi="宋体" w:cs="宋体"/>
          <w:bCs/>
          <w:spacing w:val="60"/>
          <w:sz w:val="28"/>
          <w:szCs w:val="28"/>
        </w:rPr>
        <w:t>附件：（下一页）</w:t>
      </w: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jc w:val="right"/>
        <w:rPr>
          <w:rFonts w:ascii="宋体" w:hAnsi="宋体" w:cs="宋体"/>
          <w:bCs/>
          <w:sz w:val="40"/>
          <w:szCs w:val="40"/>
        </w:rPr>
      </w:pPr>
    </w:p>
    <w:p>
      <w:pPr>
        <w:rPr>
          <w:rFonts w:ascii="宋体" w:hAnsi="宋体" w:cs="宋体"/>
          <w:bCs/>
          <w:sz w:val="40"/>
          <w:szCs w:val="40"/>
        </w:rPr>
      </w:pPr>
    </w:p>
    <w:p>
      <w:pPr>
        <w:jc w:val="right"/>
        <w:rPr>
          <w:rFonts w:ascii="宋体" w:hAnsi="宋体" w:cs="宋体"/>
          <w:bCs/>
          <w:sz w:val="36"/>
          <w:szCs w:val="36"/>
        </w:rPr>
      </w:pPr>
      <w:r>
        <w:rPr>
          <w:rFonts w:hint="eastAsia" w:ascii="宋体" w:hAnsi="宋体" w:cs="宋体"/>
          <w:bCs/>
          <w:sz w:val="36"/>
          <w:szCs w:val="36"/>
        </w:rPr>
        <w:t>正本/副本</w:t>
      </w:r>
    </w:p>
    <w:p>
      <w:pPr>
        <w:jc w:val="center"/>
        <w:rPr>
          <w:rFonts w:ascii="宋体" w:hAnsi="宋体" w:cs="宋体"/>
          <w:bCs/>
          <w:sz w:val="28"/>
          <w:szCs w:val="28"/>
        </w:rPr>
      </w:pPr>
    </w:p>
    <w:p>
      <w:pPr>
        <w:jc w:val="center"/>
        <w:rPr>
          <w:rFonts w:ascii="宋体" w:hAnsi="宋体" w:cs="宋体"/>
          <w:bCs/>
          <w:sz w:val="56"/>
          <w:szCs w:val="56"/>
        </w:rPr>
      </w:pPr>
      <w:r>
        <w:rPr>
          <w:rFonts w:hint="eastAsia" w:ascii="宋体" w:hAnsi="宋体" w:cs="宋体"/>
          <w:bCs/>
          <w:spacing w:val="7"/>
          <w:sz w:val="36"/>
          <w:szCs w:val="36"/>
        </w:rPr>
        <w:t>运城市财经学校关于山西省第十</w:t>
      </w:r>
      <w:r>
        <w:rPr>
          <w:rFonts w:hint="eastAsia" w:ascii="宋体" w:hAnsi="宋体" w:cs="宋体"/>
          <w:bCs/>
          <w:spacing w:val="7"/>
          <w:sz w:val="36"/>
          <w:szCs w:val="36"/>
          <w:lang w:val="en-US" w:eastAsia="zh-CN"/>
        </w:rPr>
        <w:t>七</w:t>
      </w:r>
      <w:r>
        <w:rPr>
          <w:rFonts w:hint="eastAsia" w:ascii="宋体" w:hAnsi="宋体" w:cs="宋体"/>
          <w:bCs/>
          <w:spacing w:val="7"/>
          <w:sz w:val="36"/>
          <w:szCs w:val="36"/>
        </w:rPr>
        <w:t>届职业院校技能大赛-</w:t>
      </w:r>
      <w:r>
        <w:rPr>
          <w:rFonts w:hint="eastAsia" w:ascii="宋体" w:hAnsi="宋体" w:cs="宋体"/>
          <w:bCs/>
          <w:spacing w:val="7"/>
          <w:sz w:val="36"/>
          <w:szCs w:val="36"/>
          <w:lang w:val="en-US" w:eastAsia="zh-CN"/>
        </w:rPr>
        <w:t>动漫制作</w:t>
      </w:r>
      <w:r>
        <w:rPr>
          <w:rFonts w:hint="eastAsia" w:ascii="宋体" w:hAnsi="宋体" w:cs="宋体"/>
          <w:bCs/>
          <w:spacing w:val="7"/>
          <w:sz w:val="36"/>
          <w:szCs w:val="36"/>
        </w:rPr>
        <w:t>（中职组）赛项</w:t>
      </w:r>
      <w:r>
        <w:rPr>
          <w:rFonts w:hint="eastAsia" w:ascii="宋体" w:hAnsi="宋体" w:cs="宋体"/>
          <w:bCs/>
          <w:spacing w:val="20"/>
          <w:kern w:val="0"/>
          <w:sz w:val="36"/>
          <w:szCs w:val="36"/>
        </w:rPr>
        <w:t>征集合作企业</w:t>
      </w:r>
    </w:p>
    <w:p>
      <w:pPr>
        <w:rPr>
          <w:rFonts w:ascii="宋体" w:hAnsi="宋体" w:cs="宋体"/>
          <w:bCs/>
          <w:spacing w:val="20"/>
          <w:sz w:val="30"/>
          <w:szCs w:val="30"/>
        </w:rPr>
      </w:pPr>
    </w:p>
    <w:p>
      <w:pPr>
        <w:pStyle w:val="9"/>
        <w:jc w:val="center"/>
        <w:rPr>
          <w:rFonts w:hint="eastAsia" w:ascii="宋体" w:hAnsi="宋体" w:cs="宋体"/>
          <w:bCs/>
          <w:sz w:val="84"/>
          <w:lang w:val="en-US" w:eastAsia="zh-CN"/>
        </w:rPr>
      </w:pPr>
    </w:p>
    <w:p>
      <w:pPr>
        <w:pStyle w:val="9"/>
        <w:jc w:val="center"/>
        <w:rPr>
          <w:rFonts w:hint="eastAsia" w:ascii="宋体" w:hAnsi="宋体" w:cs="宋体"/>
          <w:bCs/>
          <w:sz w:val="84"/>
          <w:lang w:val="en-US" w:eastAsia="zh-CN"/>
        </w:rPr>
      </w:pPr>
      <w:r>
        <w:rPr>
          <w:rFonts w:hint="eastAsia" w:ascii="宋体" w:hAnsi="宋体" w:cs="宋体"/>
          <w:bCs/>
          <w:sz w:val="84"/>
          <w:lang w:val="en-US" w:eastAsia="zh-CN"/>
        </w:rPr>
        <w:t>意</w:t>
      </w:r>
    </w:p>
    <w:p>
      <w:pPr>
        <w:pStyle w:val="9"/>
        <w:jc w:val="center"/>
        <w:rPr>
          <w:rFonts w:hint="eastAsia" w:ascii="宋体" w:hAnsi="宋体" w:cs="宋体"/>
          <w:bCs/>
          <w:sz w:val="84"/>
          <w:lang w:val="en-US" w:eastAsia="zh-CN"/>
        </w:rPr>
      </w:pPr>
      <w:r>
        <w:rPr>
          <w:rFonts w:hint="eastAsia" w:ascii="宋体" w:hAnsi="宋体" w:cs="宋体"/>
          <w:bCs/>
          <w:sz w:val="84"/>
          <w:lang w:val="en-US" w:eastAsia="zh-CN"/>
        </w:rPr>
        <w:t>向</w:t>
      </w:r>
    </w:p>
    <w:p>
      <w:pPr>
        <w:pStyle w:val="9"/>
        <w:jc w:val="center"/>
        <w:rPr>
          <w:rFonts w:hint="eastAsia" w:ascii="宋体" w:hAnsi="宋体" w:cs="宋体"/>
          <w:bCs/>
          <w:sz w:val="84"/>
          <w:lang w:val="en-US" w:eastAsia="zh-CN"/>
        </w:rPr>
      </w:pPr>
      <w:r>
        <w:rPr>
          <w:rFonts w:hint="eastAsia" w:ascii="宋体" w:hAnsi="宋体" w:cs="宋体"/>
          <w:bCs/>
          <w:sz w:val="84"/>
          <w:lang w:val="en-US" w:eastAsia="zh-CN"/>
        </w:rPr>
        <w:t>书</w:t>
      </w:r>
    </w:p>
    <w:p>
      <w:pPr>
        <w:rPr>
          <w:rFonts w:hint="eastAsia" w:ascii="宋体" w:hAnsi="宋体" w:cs="宋体"/>
          <w:bCs/>
          <w:sz w:val="84"/>
          <w:lang w:val="en-US" w:eastAsia="zh-CN"/>
        </w:rPr>
      </w:pPr>
    </w:p>
    <w:p>
      <w:pPr>
        <w:pStyle w:val="2"/>
        <w:rPr>
          <w:rFonts w:hint="default"/>
          <w:lang w:val="en-US" w:eastAsia="zh-CN"/>
        </w:rPr>
      </w:pPr>
    </w:p>
    <w:p>
      <w:pPr>
        <w:rPr>
          <w:rFonts w:ascii="宋体" w:hAnsi="宋体" w:cs="宋体"/>
          <w:bCs/>
          <w:spacing w:val="20"/>
          <w:szCs w:val="21"/>
        </w:rPr>
      </w:pPr>
      <w:r>
        <w:rPr>
          <w:rFonts w:hint="eastAsia" w:ascii="宋体" w:hAnsi="宋体" w:cs="宋体"/>
          <w:bCs/>
          <w:spacing w:val="20"/>
          <w:sz w:val="32"/>
          <w:szCs w:val="32"/>
        </w:rPr>
        <w:t>单位名称：_______________________</w:t>
      </w:r>
      <w:r>
        <w:rPr>
          <w:rFonts w:hint="eastAsia" w:ascii="宋体" w:hAnsi="宋体" w:cs="宋体"/>
          <w:bCs/>
          <w:spacing w:val="20"/>
          <w:sz w:val="22"/>
          <w:szCs w:val="22"/>
        </w:rPr>
        <w:t>（加盖单位公章）</w:t>
      </w:r>
    </w:p>
    <w:p>
      <w:pPr>
        <w:rPr>
          <w:rFonts w:ascii="宋体" w:hAnsi="宋体" w:cs="宋体"/>
          <w:bCs/>
          <w:spacing w:val="20"/>
          <w:sz w:val="32"/>
          <w:szCs w:val="32"/>
        </w:rPr>
      </w:pPr>
      <w:r>
        <w:rPr>
          <w:rFonts w:hint="eastAsia" w:ascii="宋体" w:hAnsi="宋体" w:cs="宋体"/>
          <w:bCs/>
          <w:spacing w:val="20"/>
          <w:sz w:val="32"/>
          <w:szCs w:val="32"/>
        </w:rPr>
        <w:t xml:space="preserve">法定代表人或授权委托人签字或签章：_______________ </w:t>
      </w:r>
    </w:p>
    <w:p>
      <w:pPr>
        <w:rPr>
          <w:rFonts w:ascii="宋体" w:hAnsi="宋体" w:cs="宋体"/>
          <w:bCs/>
          <w:spacing w:val="20"/>
          <w:sz w:val="32"/>
          <w:szCs w:val="32"/>
        </w:rPr>
      </w:pPr>
    </w:p>
    <w:p>
      <w:pPr>
        <w:jc w:val="center"/>
        <w:rPr>
          <w:rFonts w:ascii="宋体" w:hAnsi="宋体" w:cs="宋体"/>
          <w:bCs/>
          <w:spacing w:val="20"/>
          <w:sz w:val="32"/>
          <w:szCs w:val="32"/>
        </w:rPr>
      </w:pPr>
      <w:r>
        <w:rPr>
          <w:rFonts w:hint="eastAsia" w:ascii="宋体" w:hAnsi="宋体" w:cs="宋体"/>
          <w:bCs/>
          <w:spacing w:val="20"/>
          <w:sz w:val="32"/>
          <w:szCs w:val="32"/>
        </w:rPr>
        <w:t>年    月</w:t>
      </w:r>
      <w:bookmarkEnd w:id="106"/>
      <w:bookmarkEnd w:id="107"/>
      <w:r>
        <w:rPr>
          <w:rFonts w:hint="eastAsia" w:ascii="宋体" w:hAnsi="宋体" w:cs="宋体"/>
          <w:bCs/>
          <w:spacing w:val="20"/>
          <w:sz w:val="32"/>
          <w:szCs w:val="32"/>
        </w:rPr>
        <w:t xml:space="preserve">    日</w:t>
      </w:r>
    </w:p>
    <w:sectPr>
      <w:pgSz w:w="12240" w:h="15840"/>
      <w:pgMar w:top="1417" w:right="1418" w:bottom="1417"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imes">
    <w:altName w:val="Times New Roman"/>
    <w:panose1 w:val="02020603050405020304"/>
    <w:charset w:val="00"/>
    <w:family w:val="auto"/>
    <w:pitch w:val="default"/>
    <w:sig w:usb0="00000000" w:usb1="00000000" w:usb2="00000000" w:usb3="00000000" w:csb0="2000019F" w:csb1="4F010000"/>
  </w:font>
  <w:font w:name="Songti SC">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center"/>
      <w:rPr>
        <w:rFonts w:ascii="Times New Roman" w:hAnsi="Times New Roman" w:eastAsia="Times New Roman"/>
        <w:sz w:val="18"/>
        <w:szCs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emWobLAQAAkgMAAA4AAABkcnMvZTJvRG9jLnhtbK1TS27bMBDdF8gd&#10;CO5jyUbT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V/m394z5kTlt789PvX6c+/&#10;09+f7Co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nplqGywEAAJIDAAAOAAAAAAAAAAEAIAAAAB8BAABkcnMvZTJv&#10;RG9jLnhtbFBLBQYAAAAABgAGAFkBAABc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pPr>
      <w:pStyle w:val="17"/>
    </w:pPr>
  </w:p>
  <w:p>
    <w:pPr>
      <w:pStyle w:val="17"/>
    </w:pPr>
  </w:p>
  <w:p>
    <w:pPr>
      <w:pStyle w:val="17"/>
    </w:pP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space"/>
      <w:lvlText w:val="(%1)"/>
      <w:lvlJc w:val="left"/>
      <w:rPr>
        <w:rFonts w:hint="eastAsia"/>
      </w:rPr>
    </w:lvl>
  </w:abstractNum>
  <w:abstractNum w:abstractNumId="1">
    <w:nsid w:val="1A6B2339"/>
    <w:multiLevelType w:val="multilevel"/>
    <w:tmpl w:val="1A6B2339"/>
    <w:lvl w:ilvl="0" w:tentative="0">
      <w:start w:val="1"/>
      <w:numFmt w:val="decimal"/>
      <w:lvlText w:val="%1."/>
      <w:lvlJc w:val="left"/>
      <w:pPr>
        <w:tabs>
          <w:tab w:val="left" w:pos="425"/>
        </w:tabs>
        <w:ind w:left="425" w:hanging="425"/>
      </w:pPr>
      <w:rPr>
        <w:rFonts w:hint="eastAsia" w:ascii="Times New Roman" w:hAnsi="Times New Roman" w:eastAsia="黑体" w:cs="黑体"/>
        <w:b/>
        <w:sz w:val="32"/>
      </w:rPr>
    </w:lvl>
    <w:lvl w:ilvl="1" w:tentative="0">
      <w:start w:val="1"/>
      <w:numFmt w:val="decimal"/>
      <w:pStyle w:val="6"/>
      <w:lvlText w:val="%1.%2."/>
      <w:lvlJc w:val="left"/>
      <w:pPr>
        <w:tabs>
          <w:tab w:val="left" w:pos="567"/>
        </w:tabs>
        <w:ind w:left="567" w:hanging="567"/>
      </w:pPr>
      <w:rPr>
        <w:sz w:val="28"/>
      </w:rPr>
    </w:lvl>
    <w:lvl w:ilvl="2" w:tentative="0">
      <w:start w:val="1"/>
      <w:numFmt w:val="decimal"/>
      <w:lvlText w:val="%1.%2.%3."/>
      <w:lvlJc w:val="left"/>
      <w:pPr>
        <w:tabs>
          <w:tab w:val="left" w:pos="709"/>
        </w:tabs>
        <w:ind w:left="709" w:hanging="709"/>
      </w:pPr>
      <w:rPr>
        <w:sz w:val="24"/>
      </w:rPr>
    </w:lvl>
    <w:lvl w:ilvl="3" w:tentative="0">
      <w:start w:val="1"/>
      <w:numFmt w:val="decimal"/>
      <w:lvlText w:val="%1.%2.%3.%4."/>
      <w:lvlJc w:val="left"/>
      <w:pPr>
        <w:tabs>
          <w:tab w:val="left" w:pos="851"/>
        </w:tabs>
        <w:ind w:left="851" w:hanging="851"/>
      </w:pPr>
      <w:rPr>
        <w:b/>
        <w:sz w:val="21"/>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Mzg5NDMwMWY2NjI2ZTRlZjFlMThlOTkzZGY4NWQifQ=="/>
  </w:docVars>
  <w:rsids>
    <w:rsidRoot w:val="00EB4E4C"/>
    <w:rsid w:val="00254F77"/>
    <w:rsid w:val="0031568A"/>
    <w:rsid w:val="007F774E"/>
    <w:rsid w:val="008A170A"/>
    <w:rsid w:val="00EB4E4C"/>
    <w:rsid w:val="1BC51486"/>
    <w:rsid w:val="2B176EBB"/>
    <w:rsid w:val="2D8F7886"/>
    <w:rsid w:val="2F57598F"/>
    <w:rsid w:val="45076F1F"/>
    <w:rsid w:val="5A832029"/>
    <w:rsid w:val="5FA63ED2"/>
    <w:rsid w:val="6A436973"/>
    <w:rsid w:val="7AF6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28"/>
    <w:qFormat/>
    <w:uiPriority w:val="0"/>
    <w:pPr>
      <w:keepNext/>
      <w:keepLines/>
      <w:pageBreakBefore/>
      <w:spacing w:before="340" w:after="450"/>
      <w:jc w:val="center"/>
      <w:outlineLvl w:val="0"/>
    </w:pPr>
    <w:rPr>
      <w:b/>
      <w:kern w:val="44"/>
      <w:sz w:val="44"/>
    </w:rPr>
  </w:style>
  <w:style w:type="paragraph" w:styleId="6">
    <w:name w:val="heading 2"/>
    <w:basedOn w:val="1"/>
    <w:next w:val="1"/>
    <w:link w:val="29"/>
    <w:qFormat/>
    <w:uiPriority w:val="0"/>
    <w:pPr>
      <w:keepNext/>
      <w:keepLines/>
      <w:numPr>
        <w:ilvl w:val="1"/>
        <w:numId w:val="1"/>
      </w:numPr>
      <w:spacing w:before="260" w:after="260" w:line="415" w:lineRule="auto"/>
      <w:outlineLvl w:val="1"/>
    </w:pPr>
    <w:rPr>
      <w:rFonts w:hint="eastAsia" w:ascii="宋体" w:hAnsi="宋体"/>
      <w:b/>
      <w:szCs w:val="32"/>
    </w:rPr>
  </w:style>
  <w:style w:type="paragraph" w:styleId="7">
    <w:name w:val="heading 3"/>
    <w:basedOn w:val="1"/>
    <w:next w:val="1"/>
    <w:link w:val="30"/>
    <w:qFormat/>
    <w:uiPriority w:val="0"/>
    <w:pPr>
      <w:keepNext/>
      <w:keepLines/>
      <w:spacing w:before="260" w:after="260" w:line="413" w:lineRule="auto"/>
      <w:outlineLvl w:val="2"/>
    </w:pPr>
    <w:rPr>
      <w:b/>
      <w:sz w:val="32"/>
    </w:rPr>
  </w:style>
  <w:style w:type="paragraph" w:styleId="8">
    <w:name w:val="heading 4"/>
    <w:basedOn w:val="1"/>
    <w:next w:val="1"/>
    <w:link w:val="31"/>
    <w:qFormat/>
    <w:uiPriority w:val="0"/>
    <w:pPr>
      <w:keepNext/>
      <w:keepLines/>
      <w:spacing w:before="280" w:after="290" w:line="372" w:lineRule="auto"/>
      <w:outlineLvl w:val="3"/>
    </w:pPr>
    <w:rPr>
      <w:rFonts w:ascii="Arial" w:hAnsi="Arial" w:eastAsia="黑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link w:val="32"/>
    <w:qFormat/>
    <w:uiPriority w:val="0"/>
    <w:pPr>
      <w:spacing w:after="120"/>
    </w:pPr>
  </w:style>
  <w:style w:type="paragraph" w:customStyle="1" w:styleId="4">
    <w:name w:val="样式 正文首行缩进 + 宋体 小四 首行缩进:  1 字符"/>
    <w:next w:val="1"/>
    <w:qFormat/>
    <w:uiPriority w:val="0"/>
    <w:pPr>
      <w:widowControl w:val="0"/>
      <w:spacing w:after="120" w:line="360" w:lineRule="auto"/>
      <w:ind w:firstLine="150" w:firstLineChars="150"/>
      <w:jc w:val="both"/>
    </w:pPr>
    <w:rPr>
      <w:rFonts w:ascii="宋体" w:hAnsi="宋体" w:eastAsia="宋体" w:cs="Times New Roman"/>
      <w:kern w:val="2"/>
      <w:sz w:val="24"/>
      <w:szCs w:val="22"/>
      <w:lang w:val="en-US" w:eastAsia="zh-CN" w:bidi="ar-SA"/>
    </w:rPr>
  </w:style>
  <w:style w:type="paragraph" w:styleId="9">
    <w:name w:val="table of authorities"/>
    <w:basedOn w:val="1"/>
    <w:next w:val="1"/>
    <w:qFormat/>
    <w:uiPriority w:val="0"/>
    <w:pPr>
      <w:ind w:left="420" w:leftChars="200"/>
    </w:pPr>
  </w:style>
  <w:style w:type="paragraph" w:styleId="10">
    <w:name w:val="Normal Indent"/>
    <w:basedOn w:val="1"/>
    <w:qFormat/>
    <w:uiPriority w:val="0"/>
    <w:pPr>
      <w:ind w:firstLine="420"/>
    </w:pPr>
    <w:rPr>
      <w:szCs w:val="20"/>
    </w:rPr>
  </w:style>
  <w:style w:type="paragraph" w:styleId="11">
    <w:name w:val="toa heading"/>
    <w:basedOn w:val="1"/>
    <w:next w:val="1"/>
    <w:qFormat/>
    <w:uiPriority w:val="99"/>
    <w:pPr>
      <w:spacing w:before="120"/>
    </w:pPr>
    <w:rPr>
      <w:rFonts w:ascii="Arial" w:hAnsi="Arial"/>
      <w:sz w:val="24"/>
    </w:rPr>
  </w:style>
  <w:style w:type="paragraph" w:styleId="12">
    <w:name w:val="Body Text Indent"/>
    <w:basedOn w:val="1"/>
    <w:link w:val="33"/>
    <w:qFormat/>
    <w:uiPriority w:val="0"/>
    <w:pPr>
      <w:spacing w:after="120"/>
      <w:ind w:left="420" w:leftChars="200"/>
    </w:pPr>
  </w:style>
  <w:style w:type="paragraph" w:styleId="13">
    <w:name w:val="Plain Text"/>
    <w:basedOn w:val="1"/>
    <w:link w:val="34"/>
    <w:qFormat/>
    <w:uiPriority w:val="0"/>
    <w:rPr>
      <w:rFonts w:ascii="宋体" w:hAnsi="Courier New"/>
    </w:rPr>
  </w:style>
  <w:style w:type="paragraph" w:styleId="14">
    <w:name w:val="Date"/>
    <w:basedOn w:val="1"/>
    <w:next w:val="1"/>
    <w:link w:val="35"/>
    <w:qFormat/>
    <w:uiPriority w:val="0"/>
    <w:pPr>
      <w:ind w:left="100" w:leftChars="2500"/>
    </w:pPr>
  </w:style>
  <w:style w:type="paragraph" w:styleId="15">
    <w:name w:val="Balloon Text"/>
    <w:basedOn w:val="1"/>
    <w:link w:val="36"/>
    <w:qFormat/>
    <w:uiPriority w:val="0"/>
    <w:rPr>
      <w:sz w:val="18"/>
    </w:rPr>
  </w:style>
  <w:style w:type="paragraph" w:styleId="16">
    <w:name w:val="footer"/>
    <w:basedOn w:val="1"/>
    <w:link w:val="37"/>
    <w:qFormat/>
    <w:uiPriority w:val="0"/>
    <w:pPr>
      <w:tabs>
        <w:tab w:val="center" w:pos="4153"/>
        <w:tab w:val="right" w:pos="8306"/>
      </w:tabs>
      <w:snapToGrid w:val="0"/>
      <w:jc w:val="left"/>
    </w:pPr>
    <w:rPr>
      <w:sz w:val="18"/>
    </w:rPr>
  </w:style>
  <w:style w:type="paragraph" w:styleId="17">
    <w:name w:val="header"/>
    <w:basedOn w:val="1"/>
    <w:link w:val="3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rPr>
      <w:rFonts w:ascii="Times New Roman" w:hAnsi="Times New Roman"/>
    </w:rPr>
  </w:style>
  <w:style w:type="paragraph" w:styleId="19">
    <w:name w:val="Body Text Indent 3"/>
    <w:basedOn w:val="1"/>
    <w:link w:val="39"/>
    <w:qFormat/>
    <w:uiPriority w:val="0"/>
    <w:pPr>
      <w:spacing w:after="120"/>
      <w:ind w:left="420" w:leftChars="200"/>
    </w:pPr>
    <w:rPr>
      <w:sz w:val="16"/>
    </w:rPr>
  </w:style>
  <w:style w:type="paragraph" w:styleId="20">
    <w:name w:val="toc 2"/>
    <w:basedOn w:val="1"/>
    <w:next w:val="1"/>
    <w:qFormat/>
    <w:uiPriority w:val="39"/>
    <w:pPr>
      <w:ind w:left="420" w:leftChars="200"/>
    </w:pPr>
    <w:rPr>
      <w:rFonts w:ascii="Times New Roman" w:hAnsi="Times New Roman"/>
    </w:r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Title"/>
    <w:basedOn w:val="1"/>
    <w:next w:val="1"/>
    <w:link w:val="40"/>
    <w:qFormat/>
    <w:uiPriority w:val="0"/>
    <w:pPr>
      <w:spacing w:before="240" w:after="60"/>
      <w:jc w:val="center"/>
      <w:outlineLvl w:val="0"/>
    </w:pPr>
    <w:rPr>
      <w:rFonts w:ascii="Arial" w:hAnsi="Arial"/>
      <w:b/>
      <w:sz w:val="3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qFormat/>
    <w:uiPriority w:val="0"/>
    <w:rPr>
      <w:color w:val="800080"/>
      <w:u w:val="single"/>
    </w:rPr>
  </w:style>
  <w:style w:type="character" w:styleId="27">
    <w:name w:val="Hyperlink"/>
    <w:basedOn w:val="25"/>
    <w:qFormat/>
    <w:uiPriority w:val="0"/>
    <w:rPr>
      <w:color w:val="0000FF"/>
      <w:u w:val="single"/>
    </w:rPr>
  </w:style>
  <w:style w:type="character" w:customStyle="1" w:styleId="28">
    <w:name w:val="标题 1 Char"/>
    <w:basedOn w:val="25"/>
    <w:link w:val="5"/>
    <w:qFormat/>
    <w:uiPriority w:val="0"/>
    <w:rPr>
      <w:rFonts w:eastAsia="宋体"/>
      <w:b/>
      <w:kern w:val="44"/>
      <w:sz w:val="44"/>
      <w:szCs w:val="44"/>
    </w:rPr>
  </w:style>
  <w:style w:type="character" w:customStyle="1" w:styleId="29">
    <w:name w:val="标题 2 Char"/>
    <w:basedOn w:val="25"/>
    <w:link w:val="6"/>
    <w:qFormat/>
    <w:uiPriority w:val="0"/>
    <w:rPr>
      <w:rFonts w:hint="eastAsia" w:ascii="宋体" w:hAnsi="宋体" w:eastAsia="宋体" w:cs="Times New Roman"/>
      <w:b/>
      <w:szCs w:val="32"/>
    </w:rPr>
  </w:style>
  <w:style w:type="character" w:customStyle="1" w:styleId="30">
    <w:name w:val="标题 3 Char"/>
    <w:basedOn w:val="25"/>
    <w:link w:val="7"/>
    <w:qFormat/>
    <w:uiPriority w:val="0"/>
    <w:rPr>
      <w:rFonts w:hint="default" w:ascii="Times New Roman" w:hAnsi="Times New Roman" w:eastAsia="宋体" w:cs="Times New Roman"/>
      <w:b/>
      <w:sz w:val="28"/>
      <w:szCs w:val="32"/>
    </w:rPr>
  </w:style>
  <w:style w:type="character" w:customStyle="1" w:styleId="31">
    <w:name w:val="标题 4 Char"/>
    <w:basedOn w:val="25"/>
    <w:link w:val="8"/>
    <w:qFormat/>
    <w:uiPriority w:val="0"/>
    <w:rPr>
      <w:rFonts w:hint="default" w:ascii="Cambria" w:hAnsi="Cambria" w:eastAsia="宋体" w:cs="Times New Roman"/>
      <w:b/>
      <w:sz w:val="28"/>
      <w:szCs w:val="28"/>
    </w:rPr>
  </w:style>
  <w:style w:type="character" w:customStyle="1" w:styleId="32">
    <w:name w:val="正文文本 Char"/>
    <w:basedOn w:val="25"/>
    <w:link w:val="3"/>
    <w:qFormat/>
    <w:uiPriority w:val="0"/>
    <w:rPr>
      <w:rFonts w:hint="default" w:ascii="Times New Roman" w:hAnsi="Times New Roman" w:eastAsia="宋体" w:cs="Times New Roman"/>
      <w:szCs w:val="21"/>
    </w:rPr>
  </w:style>
  <w:style w:type="character" w:customStyle="1" w:styleId="33">
    <w:name w:val="正文文本缩进 Char"/>
    <w:basedOn w:val="25"/>
    <w:link w:val="12"/>
    <w:qFormat/>
    <w:uiPriority w:val="0"/>
    <w:rPr>
      <w:rFonts w:hint="default" w:ascii="Times New Roman" w:hAnsi="Times New Roman" w:eastAsia="宋体" w:cs="Times New Roman"/>
      <w:kern w:val="0"/>
      <w:sz w:val="24"/>
      <w:szCs w:val="20"/>
    </w:rPr>
  </w:style>
  <w:style w:type="character" w:customStyle="1" w:styleId="34">
    <w:name w:val="纯文本 Char"/>
    <w:basedOn w:val="25"/>
    <w:link w:val="13"/>
    <w:qFormat/>
    <w:uiPriority w:val="0"/>
    <w:rPr>
      <w:rFonts w:hint="eastAsia" w:ascii="宋体" w:hAnsi="Courier New" w:eastAsia="宋体" w:cs="Courier New"/>
      <w:szCs w:val="21"/>
    </w:rPr>
  </w:style>
  <w:style w:type="character" w:customStyle="1" w:styleId="35">
    <w:name w:val="日期 Char"/>
    <w:basedOn w:val="25"/>
    <w:link w:val="14"/>
    <w:qFormat/>
    <w:uiPriority w:val="0"/>
    <w:rPr>
      <w:rFonts w:hint="default" w:ascii="Times New Roman" w:hAnsi="Times New Roman" w:eastAsia="宋体" w:cs="Times New Roman"/>
      <w:szCs w:val="24"/>
    </w:rPr>
  </w:style>
  <w:style w:type="character" w:customStyle="1" w:styleId="36">
    <w:name w:val="批注框文本 Char"/>
    <w:basedOn w:val="25"/>
    <w:link w:val="15"/>
    <w:qFormat/>
    <w:uiPriority w:val="0"/>
    <w:rPr>
      <w:sz w:val="18"/>
      <w:szCs w:val="18"/>
    </w:rPr>
  </w:style>
  <w:style w:type="character" w:customStyle="1" w:styleId="37">
    <w:name w:val="页脚 Char"/>
    <w:basedOn w:val="25"/>
    <w:link w:val="16"/>
    <w:qFormat/>
    <w:uiPriority w:val="0"/>
    <w:rPr>
      <w:rFonts w:hint="default" w:ascii="Times New Roman" w:hAnsi="Times New Roman" w:eastAsia="宋体" w:cs="Times New Roman"/>
      <w:color w:val="000000"/>
      <w:sz w:val="18"/>
      <w:szCs w:val="24"/>
    </w:rPr>
  </w:style>
  <w:style w:type="character" w:customStyle="1" w:styleId="38">
    <w:name w:val="页眉 Char"/>
    <w:basedOn w:val="25"/>
    <w:link w:val="17"/>
    <w:qFormat/>
    <w:uiPriority w:val="0"/>
    <w:rPr>
      <w:rFonts w:hint="default" w:ascii="Times New Roman" w:hAnsi="Times New Roman" w:eastAsia="宋体" w:cs="Times New Roman"/>
      <w:color w:val="000000"/>
      <w:sz w:val="18"/>
      <w:szCs w:val="24"/>
    </w:rPr>
  </w:style>
  <w:style w:type="character" w:customStyle="1" w:styleId="39">
    <w:name w:val="正文文本缩进 3 Char"/>
    <w:basedOn w:val="25"/>
    <w:link w:val="19"/>
    <w:qFormat/>
    <w:uiPriority w:val="0"/>
    <w:rPr>
      <w:rFonts w:hint="default" w:ascii="Times New Roman" w:hAnsi="Times New Roman" w:eastAsia="宋体" w:cs="Times New Roman"/>
      <w:sz w:val="16"/>
      <w:szCs w:val="16"/>
    </w:rPr>
  </w:style>
  <w:style w:type="character" w:customStyle="1" w:styleId="40">
    <w:name w:val="标题 Char"/>
    <w:basedOn w:val="25"/>
    <w:link w:val="22"/>
    <w:qFormat/>
    <w:uiPriority w:val="0"/>
    <w:rPr>
      <w:rFonts w:hint="default" w:ascii="Cambria" w:hAnsi="Cambria" w:eastAsia="宋体" w:cs="Times New Roman"/>
      <w:b/>
      <w:sz w:val="32"/>
      <w:szCs w:val="32"/>
    </w:rPr>
  </w:style>
  <w:style w:type="character" w:customStyle="1" w:styleId="41">
    <w:name w:val="apple-style-span"/>
    <w:basedOn w:val="25"/>
    <w:qFormat/>
    <w:uiPriority w:val="0"/>
  </w:style>
  <w:style w:type="character" w:customStyle="1" w:styleId="42">
    <w:name w:val="apple-converted-space"/>
    <w:basedOn w:val="25"/>
    <w:qFormat/>
    <w:uiPriority w:val="0"/>
  </w:style>
  <w:style w:type="character" w:customStyle="1" w:styleId="43">
    <w:name w:val="NormalCharacter"/>
    <w:qFormat/>
    <w:uiPriority w:val="0"/>
    <w:rPr>
      <w:kern w:val="2"/>
      <w:sz w:val="21"/>
      <w:szCs w:val="24"/>
      <w:lang w:val="en-US" w:eastAsia="zh-CN" w:bidi="ar-SA"/>
    </w:rPr>
  </w:style>
  <w:style w:type="character" w:customStyle="1" w:styleId="44">
    <w:name w:val="s1"/>
    <w:basedOn w:val="25"/>
    <w:qFormat/>
    <w:uiPriority w:val="0"/>
    <w:rPr>
      <w:rFonts w:ascii="Times" w:hAnsi="Times" w:eastAsia="Times" w:cs="Times"/>
      <w:spacing w:val="6"/>
      <w:sz w:val="21"/>
      <w:szCs w:val="21"/>
    </w:rPr>
  </w:style>
  <w:style w:type="character" w:customStyle="1" w:styleId="45">
    <w:name w:val="17"/>
    <w:basedOn w:val="25"/>
    <w:qFormat/>
    <w:uiPriority w:val="0"/>
    <w:rPr>
      <w:rFonts w:hint="default" w:ascii="Times New Roman" w:hAnsi="Times New Roman" w:cs="Times New Roman"/>
      <w:color w:val="0000FF"/>
      <w:u w:val="single"/>
    </w:rPr>
  </w:style>
  <w:style w:type="character" w:customStyle="1" w:styleId="46">
    <w:name w:val="font21"/>
    <w:basedOn w:val="25"/>
    <w:qFormat/>
    <w:uiPriority w:val="0"/>
    <w:rPr>
      <w:rFonts w:hint="eastAsia" w:ascii="宋体" w:hAnsi="宋体" w:eastAsia="宋体" w:cs="宋体"/>
      <w:color w:val="000000"/>
      <w:sz w:val="24"/>
      <w:szCs w:val="24"/>
      <w:u w:val="none"/>
    </w:rPr>
  </w:style>
  <w:style w:type="character" w:customStyle="1" w:styleId="47">
    <w:name w:val="16"/>
    <w:basedOn w:val="25"/>
    <w:qFormat/>
    <w:uiPriority w:val="0"/>
    <w:rPr>
      <w:rFonts w:hint="default" w:ascii="Times New Roman" w:hAnsi="Times New Roman" w:cs="Times New Roman"/>
      <w:color w:val="000000"/>
      <w:sz w:val="18"/>
      <w:szCs w:val="18"/>
    </w:rPr>
  </w:style>
  <w:style w:type="character" w:customStyle="1" w:styleId="48">
    <w:name w:val="font41"/>
    <w:basedOn w:val="25"/>
    <w:qFormat/>
    <w:uiPriority w:val="0"/>
    <w:rPr>
      <w:rFonts w:hint="eastAsia" w:ascii="宋体" w:hAnsi="宋体" w:eastAsia="宋体" w:cs="宋体"/>
      <w:color w:val="000000"/>
      <w:sz w:val="20"/>
      <w:szCs w:val="20"/>
      <w:u w:val="none"/>
    </w:rPr>
  </w:style>
  <w:style w:type="character" w:customStyle="1" w:styleId="49">
    <w:name w:val="15"/>
    <w:basedOn w:val="25"/>
    <w:qFormat/>
    <w:uiPriority w:val="0"/>
    <w:rPr>
      <w:rFonts w:hint="default" w:ascii="Times New Roman" w:hAnsi="Times New Roman" w:cs="Times New Roman"/>
      <w:color w:val="000000"/>
      <w:sz w:val="18"/>
      <w:szCs w:val="18"/>
    </w:rPr>
  </w:style>
  <w:style w:type="character" w:customStyle="1" w:styleId="50">
    <w:name w:val="font11"/>
    <w:basedOn w:val="25"/>
    <w:qFormat/>
    <w:uiPriority w:val="0"/>
    <w:rPr>
      <w:rFonts w:hint="eastAsia" w:ascii="宋体" w:hAnsi="宋体" w:eastAsia="宋体" w:cs="宋体"/>
      <w:color w:val="000000"/>
      <w:sz w:val="20"/>
      <w:szCs w:val="20"/>
      <w:u w:val="none"/>
    </w:rPr>
  </w:style>
  <w:style w:type="character" w:customStyle="1" w:styleId="51">
    <w:name w:val="规范正文 Char"/>
    <w:basedOn w:val="25"/>
    <w:qFormat/>
    <w:uiPriority w:val="0"/>
    <w:rPr>
      <w:sz w:val="24"/>
    </w:rPr>
  </w:style>
  <w:style w:type="character" w:customStyle="1" w:styleId="52">
    <w:name w:val="批注框文本 字符1"/>
    <w:basedOn w:val="25"/>
    <w:qFormat/>
    <w:uiPriority w:val="0"/>
    <w:rPr>
      <w:sz w:val="18"/>
      <w:szCs w:val="18"/>
    </w:rPr>
  </w:style>
  <w:style w:type="character" w:customStyle="1" w:styleId="53">
    <w:name w:val="s2"/>
    <w:basedOn w:val="25"/>
    <w:qFormat/>
    <w:uiPriority w:val="0"/>
    <w:rPr>
      <w:spacing w:val="6"/>
    </w:rPr>
  </w:style>
  <w:style w:type="character" w:customStyle="1" w:styleId="54">
    <w:name w:val="font71"/>
    <w:basedOn w:val="25"/>
    <w:qFormat/>
    <w:uiPriority w:val="0"/>
    <w:rPr>
      <w:rFonts w:hint="eastAsia" w:ascii="宋体" w:hAnsi="宋体" w:eastAsia="宋体" w:cs="宋体"/>
      <w:color w:val="000000"/>
      <w:sz w:val="20"/>
      <w:szCs w:val="20"/>
      <w:u w:val="none"/>
    </w:rPr>
  </w:style>
  <w:style w:type="character" w:customStyle="1" w:styleId="55">
    <w:name w:val="列表段落 字符"/>
    <w:basedOn w:val="25"/>
    <w:qFormat/>
    <w:uiPriority w:val="0"/>
    <w:rPr>
      <w:rFonts w:hint="default" w:ascii="Times New Roman" w:hAnsi="Times New Roman" w:eastAsia="宋体" w:cs="Times New Roman"/>
      <w:szCs w:val="24"/>
    </w:rPr>
  </w:style>
  <w:style w:type="paragraph" w:customStyle="1" w:styleId="56">
    <w:name w:val="样式1"/>
    <w:basedOn w:val="1"/>
    <w:qFormat/>
    <w:uiPriority w:val="0"/>
    <w:pPr>
      <w:adjustRightInd w:val="0"/>
      <w:textAlignment w:val="baseline"/>
    </w:pPr>
    <w:rPr>
      <w:rFonts w:ascii="宋体" w:hAnsi="宋体"/>
      <w:kern w:val="0"/>
      <w:szCs w:val="21"/>
    </w:rPr>
  </w:style>
  <w:style w:type="paragraph" w:customStyle="1" w:styleId="57">
    <w:name w:val="Normal Indent1"/>
    <w:basedOn w:val="1"/>
    <w:qFormat/>
    <w:uiPriority w:val="0"/>
    <w:pPr>
      <w:ind w:firstLine="420" w:firstLineChars="200"/>
    </w:pPr>
  </w:style>
  <w:style w:type="paragraph" w:customStyle="1" w:styleId="58">
    <w:name w:val="样式"/>
    <w:qFormat/>
    <w:uiPriority w:val="0"/>
    <w:pPr>
      <w:widowControl w:val="0"/>
      <w:autoSpaceDE w:val="0"/>
      <w:autoSpaceDN w:val="0"/>
      <w:adjustRightInd w:val="0"/>
    </w:pPr>
    <w:rPr>
      <w:rFonts w:ascii="Times New Roman" w:hAnsi="Times New Roman" w:eastAsia="宋体" w:cs="Times New Roman"/>
      <w:sz w:val="24"/>
      <w:szCs w:val="22"/>
      <w:lang w:val="en-US" w:eastAsia="zh-CN" w:bidi="ar-SA"/>
    </w:rPr>
  </w:style>
  <w:style w:type="paragraph" w:customStyle="1" w:styleId="59">
    <w:name w:val="p2"/>
    <w:basedOn w:val="1"/>
    <w:qFormat/>
    <w:uiPriority w:val="0"/>
    <w:pPr>
      <w:spacing w:line="360" w:lineRule="atLeast"/>
      <w:ind w:firstLine="444"/>
    </w:pPr>
    <w:rPr>
      <w:rFonts w:hint="eastAsia" w:ascii="Songti SC" w:hAnsi="Songti SC" w:eastAsia="Songti SC" w:cs="Songti SC"/>
      <w:kern w:val="0"/>
      <w:szCs w:val="21"/>
    </w:rPr>
  </w:style>
  <w:style w:type="paragraph" w:customStyle="1" w:styleId="6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1">
    <w:name w:val="p3"/>
    <w:basedOn w:val="1"/>
    <w:qFormat/>
    <w:uiPriority w:val="0"/>
    <w:pPr>
      <w:spacing w:line="320" w:lineRule="atLeast"/>
      <w:jc w:val="center"/>
    </w:pPr>
    <w:rPr>
      <w:rFonts w:ascii="Times" w:hAnsi="Times" w:eastAsia="Times" w:cs="Times"/>
      <w:kern w:val="0"/>
      <w:szCs w:val="21"/>
    </w:rPr>
  </w:style>
  <w:style w:type="paragraph" w:customStyle="1" w:styleId="62">
    <w:name w:val="表格文字"/>
    <w:basedOn w:val="1"/>
    <w:next w:val="3"/>
    <w:qFormat/>
    <w:uiPriority w:val="0"/>
    <w:pPr>
      <w:spacing w:before="25" w:after="25"/>
      <w:jc w:val="left"/>
    </w:pPr>
    <w:rPr>
      <w:bCs/>
      <w:spacing w:val="10"/>
      <w:kern w:val="0"/>
      <w:sz w:val="24"/>
    </w:rPr>
  </w:style>
  <w:style w:type="paragraph" w:customStyle="1" w:styleId="63">
    <w:name w:val="msotocheading"/>
    <w:basedOn w:val="5"/>
    <w:next w:val="1"/>
    <w:qFormat/>
    <w:uiPriority w:val="0"/>
    <w:pPr>
      <w:tabs>
        <w:tab w:val="left" w:pos="425"/>
      </w:tabs>
      <w:spacing w:before="480" w:after="0" w:line="276" w:lineRule="auto"/>
      <w:jc w:val="both"/>
    </w:pPr>
    <w:rPr>
      <w:rFonts w:ascii="Cambria" w:hAnsi="Cambria"/>
      <w:color w:val="365F91"/>
      <w:kern w:val="2"/>
      <w:sz w:val="28"/>
      <w:szCs w:val="28"/>
    </w:rPr>
  </w:style>
  <w:style w:type="paragraph" w:customStyle="1" w:styleId="64">
    <w:name w:val="List Paragraph_ce7903ba-5c3a-4d51-b919-dea9511b6abb"/>
    <w:basedOn w:val="1"/>
    <w:qFormat/>
    <w:uiPriority w:val="0"/>
    <w:pPr>
      <w:ind w:firstLine="420" w:firstLineChars="200"/>
    </w:pPr>
  </w:style>
  <w:style w:type="paragraph" w:customStyle="1" w:styleId="65">
    <w:name w:val="Table Paragraph"/>
    <w:basedOn w:val="1"/>
    <w:qFormat/>
    <w:uiPriority w:val="1"/>
    <w:rPr>
      <w:rFonts w:ascii="宋体" w:hAnsi="宋体" w:cs="宋体"/>
      <w:lang w:val="zh-CN" w:bidi="zh-CN"/>
    </w:rPr>
  </w:style>
  <w:style w:type="paragraph" w:customStyle="1" w:styleId="66">
    <w:name w:val="WPSOffice手动目录 1"/>
    <w:qFormat/>
    <w:uiPriority w:val="0"/>
    <w:rPr>
      <w:rFonts w:ascii="Times New Roman" w:hAnsi="Times New Roman" w:eastAsia="宋体" w:cs="Times New Roman"/>
      <w:lang w:val="en-US" w:eastAsia="zh-CN" w:bidi="ar-SA"/>
    </w:rPr>
  </w:style>
  <w:style w:type="paragraph" w:customStyle="1" w:styleId="67">
    <w:name w:val="正文1"/>
    <w:basedOn w:val="1"/>
    <w:qFormat/>
    <w:uiPriority w:val="0"/>
    <w:rPr>
      <w:rFonts w:ascii="仿宋" w:hAnsi="仿宋" w:eastAsia="仿宋"/>
      <w:kern w:val="0"/>
      <w:sz w:val="28"/>
      <w:szCs w:val="20"/>
    </w:rPr>
  </w:style>
  <w:style w:type="paragraph" w:customStyle="1" w:styleId="68">
    <w:name w:val="p1"/>
    <w:basedOn w:val="1"/>
    <w:qFormat/>
    <w:uiPriority w:val="0"/>
    <w:pPr>
      <w:spacing w:line="360" w:lineRule="atLeast"/>
    </w:pPr>
    <w:rPr>
      <w:rFonts w:ascii="Songti SC" w:hAnsi="Songti SC" w:eastAsia="Songti SC" w:cs="Songti SC"/>
      <w:kern w:val="0"/>
      <w:szCs w:val="21"/>
    </w:rPr>
  </w:style>
  <w:style w:type="paragraph" w:customStyle="1" w:styleId="69">
    <w:name w:val="Other|1"/>
    <w:basedOn w:val="1"/>
    <w:qFormat/>
    <w:uiPriority w:val="0"/>
    <w:rPr>
      <w:rFonts w:ascii="宋体" w:hAnsi="宋体" w:cs="宋体"/>
      <w:sz w:val="18"/>
      <w:szCs w:val="18"/>
      <w:lang w:val="zh-TW" w:eastAsia="zh-TW" w:bidi="zh-TW"/>
    </w:rPr>
  </w:style>
  <w:style w:type="table" w:customStyle="1" w:styleId="70">
    <w:name w:val="Table Normal"/>
    <w:qFormat/>
    <w:uiPriority w:val="0"/>
    <w:tblPr>
      <w:tblCellMar>
        <w:top w:w="0" w:type="dxa"/>
        <w:left w:w="0" w:type="dxa"/>
        <w:bottom w:w="0" w:type="dxa"/>
        <w:right w:w="0" w:type="dxa"/>
      </w:tblCellMar>
    </w:tblPr>
  </w:style>
  <w:style w:type="paragraph" w:customStyle="1" w:styleId="71">
    <w:name w:val="表格"/>
    <w:basedOn w:val="1"/>
    <w:qFormat/>
    <w:uiPriority w:val="0"/>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5922</Words>
  <Characters>6196</Characters>
  <Lines>35</Lines>
  <Paragraphs>9</Paragraphs>
  <TotalTime>37</TotalTime>
  <ScaleCrop>false</ScaleCrop>
  <LinksUpToDate>false</LinksUpToDate>
  <CharactersWithSpaces>6572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2020-11-14T21:16:00Z</dcterms:created>
  <dc:creator>十指阡陌</dc:creator>
  <cp:lastModifiedBy>Administrator</cp:lastModifiedBy>
  <cp:lastPrinted>2021-06-17T12:10:00Z</cp:lastPrinted>
  <dcterms:modified xsi:type="dcterms:W3CDTF">2023-09-12T10:25:45Z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4A1EE697552740CBBFB6842E505070AA</vt:lpwstr>
  </property>
</Properties>
</file>